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9F0D32" w14:textId="77777777" w:rsidR="00FB69C0" w:rsidRPr="00FB69C0" w:rsidRDefault="00FB69C0" w:rsidP="00FB69C0">
      <w:pPr>
        <w:shd w:val="clear" w:color="auto" w:fill="EFEFEF"/>
        <w:spacing w:after="0" w:line="525" w:lineRule="atLeast"/>
        <w:outlineLvl w:val="0"/>
        <w:rPr>
          <w:rFonts w:ascii="Tahoma" w:eastAsia="Times New Roman" w:hAnsi="Tahoma" w:cs="Tahoma"/>
          <w:color w:val="DC3B33"/>
          <w:kern w:val="36"/>
          <w:sz w:val="45"/>
          <w:szCs w:val="45"/>
          <w:lang w:eastAsia="it-IT"/>
          <w14:ligatures w14:val="none"/>
        </w:rPr>
      </w:pPr>
      <w:r w:rsidRPr="00FB69C0">
        <w:rPr>
          <w:rFonts w:ascii="Tahoma" w:eastAsia="Times New Roman" w:hAnsi="Tahoma" w:cs="Tahoma"/>
          <w:color w:val="DC3B33"/>
          <w:kern w:val="36"/>
          <w:sz w:val="45"/>
          <w:szCs w:val="45"/>
          <w:lang w:eastAsia="it-IT"/>
          <w14:ligatures w14:val="none"/>
        </w:rPr>
        <w:t>Legge di bilancio: il Governo fa cassa su Istruzione e Ricerca. Taglio di oltre 5 mld a danno di stipendi e personale </w:t>
      </w:r>
    </w:p>
    <w:p w14:paraId="25CA1008" w14:textId="77777777" w:rsidR="00FB69C0" w:rsidRPr="00FB69C0" w:rsidRDefault="00FB69C0" w:rsidP="00FB69C0">
      <w:pPr>
        <w:shd w:val="clear" w:color="auto" w:fill="EFEFEF"/>
        <w:spacing w:before="75" w:after="75" w:line="240" w:lineRule="auto"/>
        <w:outlineLvl w:val="3"/>
        <w:rPr>
          <w:rFonts w:ascii="Arial" w:eastAsia="Times New Roman" w:hAnsi="Arial" w:cs="Arial"/>
          <w:color w:val="535353"/>
          <w:kern w:val="0"/>
          <w:sz w:val="27"/>
          <w:szCs w:val="27"/>
          <w:lang w:eastAsia="it-IT"/>
          <w14:ligatures w14:val="none"/>
        </w:rPr>
      </w:pPr>
      <w:r w:rsidRPr="00FB69C0">
        <w:rPr>
          <w:rFonts w:ascii="Arial" w:eastAsia="Times New Roman" w:hAnsi="Arial" w:cs="Arial"/>
          <w:color w:val="535353"/>
          <w:kern w:val="0"/>
          <w:sz w:val="27"/>
          <w:szCs w:val="27"/>
          <w:lang w:eastAsia="it-IT"/>
          <w14:ligatures w14:val="none"/>
        </w:rPr>
        <w:t>Comunicato stampa della Federazione Lavoratori della Conoscenza CGIL</w:t>
      </w:r>
    </w:p>
    <w:p w14:paraId="53D5C6B7" w14:textId="77777777" w:rsidR="00FB69C0" w:rsidRPr="00FB69C0" w:rsidRDefault="00FB69C0" w:rsidP="00FB69C0">
      <w:pPr>
        <w:shd w:val="clear" w:color="auto" w:fill="EFEFEF"/>
        <w:spacing w:after="0" w:line="240" w:lineRule="auto"/>
        <w:rPr>
          <w:rFonts w:ascii="Arial" w:eastAsia="Times New Roman" w:hAnsi="Arial" w:cs="Arial"/>
          <w:color w:val="4D4D4D"/>
          <w:kern w:val="0"/>
          <w:sz w:val="21"/>
          <w:szCs w:val="21"/>
          <w:lang w:eastAsia="it-IT"/>
          <w14:ligatures w14:val="none"/>
        </w:rPr>
      </w:pPr>
      <w:r w:rsidRPr="00FB69C0">
        <w:rPr>
          <w:rFonts w:ascii="Arial" w:eastAsia="Times New Roman" w:hAnsi="Arial" w:cs="Arial"/>
          <w:b/>
          <w:bCs/>
          <w:color w:val="4D4D4D"/>
          <w:kern w:val="0"/>
          <w:sz w:val="21"/>
          <w:szCs w:val="21"/>
          <w:lang w:eastAsia="it-IT"/>
          <w14:ligatures w14:val="none"/>
        </w:rPr>
        <w:t>28/12/2024</w:t>
      </w:r>
    </w:p>
    <w:p w14:paraId="4B354314" w14:textId="11B2F270" w:rsidR="00FB69C0" w:rsidRPr="00FB69C0" w:rsidRDefault="00FB69C0" w:rsidP="00FB69C0">
      <w:pPr>
        <w:shd w:val="clear" w:color="auto" w:fill="EFEFEF"/>
        <w:spacing w:after="150" w:line="240" w:lineRule="auto"/>
        <w:rPr>
          <w:rFonts w:ascii="Arial" w:eastAsia="Times New Roman" w:hAnsi="Arial" w:cs="Arial"/>
          <w:color w:val="4D4D4D"/>
          <w:kern w:val="0"/>
          <w:sz w:val="21"/>
          <w:szCs w:val="21"/>
          <w:lang w:eastAsia="it-IT"/>
          <w14:ligatures w14:val="none"/>
        </w:rPr>
      </w:pPr>
      <w:r w:rsidRPr="00FB69C0">
        <w:rPr>
          <w:rFonts w:ascii="Arial" w:eastAsia="Times New Roman" w:hAnsi="Arial" w:cs="Arial"/>
          <w:color w:val="4D4D4D"/>
          <w:kern w:val="0"/>
          <w:sz w:val="21"/>
          <w:szCs w:val="21"/>
          <w:lang w:eastAsia="it-IT"/>
          <w14:ligatures w14:val="none"/>
        </w:rPr>
        <w:t> </w:t>
      </w:r>
    </w:p>
    <w:p w14:paraId="555B45FC" w14:textId="77777777" w:rsidR="00FB69C0" w:rsidRPr="00FB69C0" w:rsidRDefault="00FB69C0" w:rsidP="00FB69C0">
      <w:pPr>
        <w:shd w:val="clear" w:color="auto" w:fill="EFEFEF"/>
        <w:spacing w:after="225" w:line="240" w:lineRule="auto"/>
        <w:jc w:val="both"/>
        <w:rPr>
          <w:rFonts w:ascii="Arial" w:eastAsia="Times New Roman" w:hAnsi="Arial" w:cs="Arial"/>
          <w:color w:val="000000"/>
          <w:kern w:val="0"/>
          <w:sz w:val="21"/>
          <w:szCs w:val="21"/>
          <w:lang w:eastAsia="it-IT"/>
          <w14:ligatures w14:val="none"/>
        </w:rPr>
      </w:pPr>
      <w:r w:rsidRPr="00FB69C0">
        <w:rPr>
          <w:rFonts w:ascii="Arial" w:eastAsia="Times New Roman" w:hAnsi="Arial" w:cs="Arial"/>
          <w:color w:val="000000"/>
          <w:kern w:val="0"/>
          <w:sz w:val="21"/>
          <w:szCs w:val="21"/>
          <w:lang w:eastAsia="it-IT"/>
          <w14:ligatures w14:val="none"/>
        </w:rPr>
        <w:t>La legge di bilancio 2025 in corso di approvazione conferma il taglio agli stipendi del personale di scuola, università, ricerca e Afam. </w:t>
      </w:r>
    </w:p>
    <w:p w14:paraId="2998A7B8" w14:textId="77777777" w:rsidR="00FB69C0" w:rsidRPr="00FB69C0" w:rsidRDefault="00FB69C0" w:rsidP="00FB69C0">
      <w:pPr>
        <w:shd w:val="clear" w:color="auto" w:fill="EFEFEF"/>
        <w:spacing w:after="225" w:line="240" w:lineRule="auto"/>
        <w:jc w:val="both"/>
        <w:rPr>
          <w:rFonts w:ascii="Arial" w:eastAsia="Times New Roman" w:hAnsi="Arial" w:cs="Arial"/>
          <w:color w:val="000000"/>
          <w:kern w:val="0"/>
          <w:sz w:val="21"/>
          <w:szCs w:val="21"/>
          <w:lang w:eastAsia="it-IT"/>
          <w14:ligatures w14:val="none"/>
        </w:rPr>
      </w:pPr>
      <w:r w:rsidRPr="00FB69C0">
        <w:rPr>
          <w:rFonts w:ascii="Arial" w:eastAsia="Times New Roman" w:hAnsi="Arial" w:cs="Arial"/>
          <w:color w:val="000000"/>
          <w:kern w:val="0"/>
          <w:sz w:val="21"/>
          <w:szCs w:val="21"/>
          <w:lang w:eastAsia="it-IT"/>
          <w14:ligatures w14:val="none"/>
        </w:rPr>
        <w:t>Per il Contratto istruzione e ricerca 2022-2024 - che è già in scadenza - non c’è nulla di nuovo, salvo un misero incremento dello 0,22% destinato al salario accessorio (circa 5 euro mensili!), che si aggiunge a quanto stanziato dalle precedenti finanziarie, per un aumento complessivo in termini percentuali del 6% (circa 140 euro medi mensili lordi). </w:t>
      </w:r>
    </w:p>
    <w:p w14:paraId="60670925" w14:textId="77777777" w:rsidR="00FB69C0" w:rsidRPr="00FB69C0" w:rsidRDefault="00FB69C0" w:rsidP="00FB69C0">
      <w:pPr>
        <w:shd w:val="clear" w:color="auto" w:fill="EFEFEF"/>
        <w:spacing w:after="225" w:line="240" w:lineRule="auto"/>
        <w:jc w:val="both"/>
        <w:rPr>
          <w:rFonts w:ascii="Arial" w:eastAsia="Times New Roman" w:hAnsi="Arial" w:cs="Arial"/>
          <w:color w:val="000000"/>
          <w:kern w:val="0"/>
          <w:sz w:val="21"/>
          <w:szCs w:val="21"/>
          <w:lang w:eastAsia="it-IT"/>
          <w14:ligatures w14:val="none"/>
        </w:rPr>
      </w:pPr>
      <w:r w:rsidRPr="00FB69C0">
        <w:rPr>
          <w:rFonts w:ascii="Arial" w:eastAsia="Times New Roman" w:hAnsi="Arial" w:cs="Arial"/>
          <w:color w:val="000000"/>
          <w:kern w:val="0"/>
          <w:sz w:val="21"/>
          <w:szCs w:val="21"/>
          <w:lang w:eastAsia="it-IT"/>
          <w14:ligatures w14:val="none"/>
        </w:rPr>
        <w:t>Una cifra del tutto inadeguata poiché l’inflazione relativa al triennio contrattuale 2022-2024 è tre volte maggiore (quasi al 18%). Di fatto al personale di scuola, università, ricerca e Afam si impone una perdita retributiva pari a 2/3 circa dell’inflazione, impoverendo così ulteriormente una categoria già in forte sofferenza economica e, non a caso, tra le meno pagate in Europa.</w:t>
      </w:r>
    </w:p>
    <w:p w14:paraId="6BD6BF55" w14:textId="77777777" w:rsidR="00FB69C0" w:rsidRPr="00FB69C0" w:rsidRDefault="00FB69C0" w:rsidP="00FB69C0">
      <w:pPr>
        <w:shd w:val="clear" w:color="auto" w:fill="EFEFEF"/>
        <w:spacing w:after="225" w:line="240" w:lineRule="auto"/>
        <w:jc w:val="both"/>
        <w:rPr>
          <w:rFonts w:ascii="Arial" w:eastAsia="Times New Roman" w:hAnsi="Arial" w:cs="Arial"/>
          <w:color w:val="000000"/>
          <w:kern w:val="0"/>
          <w:sz w:val="21"/>
          <w:szCs w:val="21"/>
          <w:lang w:eastAsia="it-IT"/>
          <w14:ligatures w14:val="none"/>
        </w:rPr>
      </w:pPr>
      <w:r w:rsidRPr="00FB69C0">
        <w:rPr>
          <w:rFonts w:ascii="Arial" w:eastAsia="Times New Roman" w:hAnsi="Arial" w:cs="Arial"/>
          <w:color w:val="000000"/>
          <w:kern w:val="0"/>
          <w:sz w:val="21"/>
          <w:szCs w:val="21"/>
          <w:lang w:eastAsia="it-IT"/>
          <w14:ligatures w14:val="none"/>
        </w:rPr>
        <w:t>Va smentita poi la falsità per la quale ciò che si perde sui salari con l’inflazione sarebbe comunque recuperato grazie al taglio del cuneo fiscale, ciò per tre evidenti ragioni:</w:t>
      </w:r>
    </w:p>
    <w:p w14:paraId="2877197D" w14:textId="77777777" w:rsidR="00FB69C0" w:rsidRPr="00FB69C0" w:rsidRDefault="00FB69C0" w:rsidP="00FB69C0">
      <w:pPr>
        <w:numPr>
          <w:ilvl w:val="0"/>
          <w:numId w:val="1"/>
        </w:numPr>
        <w:shd w:val="clear" w:color="auto" w:fill="EFEFEF"/>
        <w:spacing w:before="100" w:beforeAutospacing="1" w:after="100" w:afterAutospacing="1" w:line="240" w:lineRule="auto"/>
        <w:rPr>
          <w:rFonts w:ascii="Arial" w:eastAsia="Times New Roman" w:hAnsi="Arial" w:cs="Arial"/>
          <w:color w:val="000000"/>
          <w:kern w:val="0"/>
          <w:sz w:val="21"/>
          <w:szCs w:val="21"/>
          <w:lang w:eastAsia="it-IT"/>
          <w14:ligatures w14:val="none"/>
        </w:rPr>
      </w:pPr>
      <w:r w:rsidRPr="00FB69C0">
        <w:rPr>
          <w:rFonts w:ascii="Arial" w:eastAsia="Times New Roman" w:hAnsi="Arial" w:cs="Arial"/>
          <w:color w:val="000000"/>
          <w:kern w:val="0"/>
          <w:sz w:val="21"/>
          <w:szCs w:val="21"/>
          <w:lang w:eastAsia="it-IT"/>
          <w14:ligatures w14:val="none"/>
        </w:rPr>
        <w:t>non si tratta di una novità dell’esecutivo Meloni ma della mera conferma di una misura già in vigore perché introdotta da precedenti governi come taglio del cuneo contributivo;</w:t>
      </w:r>
    </w:p>
    <w:p w14:paraId="7C19A2C1" w14:textId="77777777" w:rsidR="00FB69C0" w:rsidRPr="00FB69C0" w:rsidRDefault="00FB69C0" w:rsidP="00FB69C0">
      <w:pPr>
        <w:numPr>
          <w:ilvl w:val="0"/>
          <w:numId w:val="1"/>
        </w:numPr>
        <w:shd w:val="clear" w:color="auto" w:fill="EFEFEF"/>
        <w:spacing w:before="100" w:beforeAutospacing="1" w:after="100" w:afterAutospacing="1" w:line="240" w:lineRule="auto"/>
        <w:rPr>
          <w:rFonts w:ascii="Arial" w:eastAsia="Times New Roman" w:hAnsi="Arial" w:cs="Arial"/>
          <w:color w:val="000000"/>
          <w:kern w:val="0"/>
          <w:sz w:val="21"/>
          <w:szCs w:val="21"/>
          <w:lang w:eastAsia="it-IT"/>
          <w14:ligatures w14:val="none"/>
        </w:rPr>
      </w:pPr>
      <w:r w:rsidRPr="00FB69C0">
        <w:rPr>
          <w:rFonts w:ascii="Arial" w:eastAsia="Times New Roman" w:hAnsi="Arial" w:cs="Arial"/>
          <w:color w:val="000000"/>
          <w:kern w:val="0"/>
          <w:sz w:val="21"/>
          <w:szCs w:val="21"/>
          <w:lang w:eastAsia="it-IT"/>
          <w14:ligatures w14:val="none"/>
        </w:rPr>
        <w:t>è una misura fiscale che riguarda tutti i lavoratori dipendenti, pubblici e privati, e questi ultimi non rinunciano certo a rinnovi contrattuali che garantiscano il pieno recupero dell’inflazione a prescindere dagli effetti della riduzione del cuneo come invece viene chiesto ai lavoratori della conoscenza;</w:t>
      </w:r>
    </w:p>
    <w:p w14:paraId="7E85B7DA" w14:textId="77777777" w:rsidR="00FB69C0" w:rsidRPr="00FB69C0" w:rsidRDefault="00FB69C0" w:rsidP="00FB69C0">
      <w:pPr>
        <w:numPr>
          <w:ilvl w:val="0"/>
          <w:numId w:val="1"/>
        </w:numPr>
        <w:shd w:val="clear" w:color="auto" w:fill="EFEFEF"/>
        <w:spacing w:before="100" w:beforeAutospacing="1" w:after="100" w:afterAutospacing="1" w:line="240" w:lineRule="auto"/>
        <w:rPr>
          <w:rFonts w:ascii="Arial" w:eastAsia="Times New Roman" w:hAnsi="Arial" w:cs="Arial"/>
          <w:color w:val="000000"/>
          <w:kern w:val="0"/>
          <w:sz w:val="21"/>
          <w:szCs w:val="21"/>
          <w:lang w:eastAsia="it-IT"/>
          <w14:ligatures w14:val="none"/>
        </w:rPr>
      </w:pPr>
      <w:r w:rsidRPr="00FB69C0">
        <w:rPr>
          <w:rFonts w:ascii="Arial" w:eastAsia="Times New Roman" w:hAnsi="Arial" w:cs="Arial"/>
          <w:color w:val="000000"/>
          <w:kern w:val="0"/>
          <w:sz w:val="21"/>
          <w:szCs w:val="21"/>
          <w:lang w:eastAsia="it-IT"/>
          <w14:ligatures w14:val="none"/>
        </w:rPr>
        <w:t>anche sommando gli effetti della riduzione del cuneo fiscale e gli incrementi previsti in legge di bilancio comunque gli stipendi risultano largamente penalizzati dall’inflazione. </w:t>
      </w:r>
    </w:p>
    <w:p w14:paraId="6AEB1C35" w14:textId="77777777" w:rsidR="00FB69C0" w:rsidRPr="00FB69C0" w:rsidRDefault="00FB69C0" w:rsidP="00FB69C0">
      <w:pPr>
        <w:shd w:val="clear" w:color="auto" w:fill="EFEFEF"/>
        <w:spacing w:after="225" w:line="240" w:lineRule="auto"/>
        <w:jc w:val="both"/>
        <w:rPr>
          <w:rFonts w:ascii="Arial" w:eastAsia="Times New Roman" w:hAnsi="Arial" w:cs="Arial"/>
          <w:color w:val="000000"/>
          <w:kern w:val="0"/>
          <w:sz w:val="21"/>
          <w:szCs w:val="21"/>
          <w:lang w:eastAsia="it-IT"/>
          <w14:ligatures w14:val="none"/>
        </w:rPr>
      </w:pPr>
      <w:r w:rsidRPr="00FB69C0">
        <w:rPr>
          <w:rFonts w:ascii="Arial" w:eastAsia="Times New Roman" w:hAnsi="Arial" w:cs="Arial"/>
          <w:color w:val="000000"/>
          <w:kern w:val="0"/>
          <w:sz w:val="21"/>
          <w:szCs w:val="21"/>
          <w:lang w:eastAsia="it-IT"/>
          <w14:ligatures w14:val="none"/>
        </w:rPr>
        <w:t>I tagli in legge di bilancio non si limitano al mancato adeguamento stipendiale, ma riguardano anche la dotazione organica, tant’è vero che per la scuola tra nuove assunzioni di docenti (1.866) e tagli (5.660) il saldo è decisamente negativo: 3.794 posti di docenti in meno nel 2025. E per il successivo anno sono confermati i tagli di oltre 2.200 posti all’organico ATA, così come per università, ricerca e Afam si sposta al 2026 la riduzione del turn over del 25%. A parte lo stanziamento di 9 milioni di euro (scelta delle opposizioni e non del Governo) finalizzato alla stabilizzazione dei ricercatori del CNR, grazie alla mobilitazione del personale, la cifra politica della manovra su questi settori è un forte definanziamento di università e ricerca pubbliche che mette rischio la tenuta complessiva del sistema nazionale dell’alta formazione, oltre che scaricare su studenti e precari il costo di questa scelta. </w:t>
      </w:r>
    </w:p>
    <w:p w14:paraId="58A5FA63" w14:textId="77777777" w:rsidR="00FB69C0" w:rsidRPr="00FB69C0" w:rsidRDefault="00FB69C0" w:rsidP="00FB69C0">
      <w:pPr>
        <w:shd w:val="clear" w:color="auto" w:fill="EFEFEF"/>
        <w:spacing w:after="225" w:line="240" w:lineRule="auto"/>
        <w:jc w:val="both"/>
        <w:rPr>
          <w:rFonts w:ascii="Arial" w:eastAsia="Times New Roman" w:hAnsi="Arial" w:cs="Arial"/>
          <w:color w:val="000000"/>
          <w:kern w:val="0"/>
          <w:sz w:val="21"/>
          <w:szCs w:val="21"/>
          <w:lang w:eastAsia="it-IT"/>
          <w14:ligatures w14:val="none"/>
        </w:rPr>
      </w:pPr>
      <w:r w:rsidRPr="00FB69C0">
        <w:rPr>
          <w:rFonts w:ascii="Arial" w:eastAsia="Times New Roman" w:hAnsi="Arial" w:cs="Arial"/>
          <w:color w:val="000000"/>
          <w:kern w:val="0"/>
          <w:sz w:val="21"/>
          <w:szCs w:val="21"/>
          <w:lang w:eastAsia="it-IT"/>
          <w14:ligatures w14:val="none"/>
        </w:rPr>
        <w:t>Il taglio agli stipendi di docenti, ricercatori, personale tecnico, amministrativo, ausiliario in virtù del mancato finanziamento per adeguare gli stipendi al tasso di inflazione, i tagli agli organici e le riduzioni di risorse per università ricerca e Afam consentono alle finanze pubbliche di risparmiare ben oltre 5 miliardi di euro, un significativo bottino di cui ha potuto disporre il Governo per interventi in legge di bilancio come l’aumento delle spese militari o come i contributi a favore delle scuole paritarie private e le altre “mancette” distribuite a lobby e consorterie.</w:t>
      </w:r>
    </w:p>
    <w:p w14:paraId="72839FC6" w14:textId="77777777" w:rsidR="00FB69C0" w:rsidRPr="00FB69C0" w:rsidRDefault="00FB69C0" w:rsidP="00FB69C0">
      <w:pPr>
        <w:shd w:val="clear" w:color="auto" w:fill="EFEFEF"/>
        <w:spacing w:after="225" w:line="240" w:lineRule="auto"/>
        <w:jc w:val="both"/>
        <w:rPr>
          <w:rFonts w:ascii="Arial" w:eastAsia="Times New Roman" w:hAnsi="Arial" w:cs="Arial"/>
          <w:color w:val="000000"/>
          <w:kern w:val="0"/>
          <w:sz w:val="21"/>
          <w:szCs w:val="21"/>
          <w:lang w:eastAsia="it-IT"/>
          <w14:ligatures w14:val="none"/>
        </w:rPr>
      </w:pPr>
      <w:r w:rsidRPr="00FB69C0">
        <w:rPr>
          <w:rFonts w:ascii="Arial" w:eastAsia="Times New Roman" w:hAnsi="Arial" w:cs="Arial"/>
          <w:color w:val="000000"/>
          <w:kern w:val="0"/>
          <w:sz w:val="21"/>
          <w:szCs w:val="21"/>
          <w:lang w:eastAsia="it-IT"/>
          <w14:ligatures w14:val="none"/>
        </w:rPr>
        <w:t>È evidente che per questo Governo ben altre sono le priorità, non certo la scuola statale, l’università, la ricerca o l’alta formazione artistica e musicale.</w:t>
      </w:r>
    </w:p>
    <w:p w14:paraId="3E9559C7" w14:textId="77777777" w:rsidR="00FB69C0" w:rsidRPr="00FB69C0" w:rsidRDefault="00FB69C0" w:rsidP="00FB69C0">
      <w:pPr>
        <w:shd w:val="clear" w:color="auto" w:fill="EFEFEF"/>
        <w:spacing w:after="225" w:line="240" w:lineRule="auto"/>
        <w:jc w:val="both"/>
        <w:rPr>
          <w:rFonts w:ascii="Arial" w:eastAsia="Times New Roman" w:hAnsi="Arial" w:cs="Arial"/>
          <w:color w:val="000000"/>
          <w:kern w:val="0"/>
          <w:sz w:val="21"/>
          <w:szCs w:val="21"/>
          <w:lang w:eastAsia="it-IT"/>
          <w14:ligatures w14:val="none"/>
        </w:rPr>
      </w:pPr>
      <w:r w:rsidRPr="00FB69C0">
        <w:rPr>
          <w:rFonts w:ascii="Arial" w:eastAsia="Times New Roman" w:hAnsi="Arial" w:cs="Arial"/>
          <w:color w:val="000000"/>
          <w:kern w:val="0"/>
          <w:sz w:val="21"/>
          <w:szCs w:val="21"/>
          <w:lang w:eastAsia="it-IT"/>
          <w14:ligatures w14:val="none"/>
        </w:rPr>
        <w:t xml:space="preserve">La FLC CGIL è fortemente impegnata, avendo già effettuato due scioperi oltre che numerosi presidi e manifestazioni, con un’azione di contrasto e di mobilitazione che proseguirà anche nel 2025 fin quando </w:t>
      </w:r>
      <w:r w:rsidRPr="00FB69C0">
        <w:rPr>
          <w:rFonts w:ascii="Arial" w:eastAsia="Times New Roman" w:hAnsi="Arial" w:cs="Arial"/>
          <w:color w:val="000000"/>
          <w:kern w:val="0"/>
          <w:sz w:val="21"/>
          <w:szCs w:val="21"/>
          <w:lang w:eastAsia="it-IT"/>
          <w14:ligatures w14:val="none"/>
        </w:rPr>
        <w:lastRenderedPageBreak/>
        <w:t>il Governo non ritirerà i provvedimenti punitivi messi in campo contro scuola università e ricerca e contro il loro personale. </w:t>
      </w:r>
    </w:p>
    <w:p w14:paraId="6673ACF2" w14:textId="77777777" w:rsidR="00FB69C0" w:rsidRPr="00FB69C0" w:rsidRDefault="00FB69C0" w:rsidP="00FB69C0">
      <w:pPr>
        <w:shd w:val="clear" w:color="auto" w:fill="EFEFEF"/>
        <w:spacing w:after="0" w:line="525" w:lineRule="atLeast"/>
        <w:outlineLvl w:val="0"/>
        <w:rPr>
          <w:rFonts w:ascii="Tahoma" w:eastAsia="Times New Roman" w:hAnsi="Tahoma" w:cs="Tahoma"/>
          <w:color w:val="DC3B33"/>
          <w:kern w:val="36"/>
          <w:sz w:val="45"/>
          <w:szCs w:val="45"/>
          <w:lang w:eastAsia="it-IT"/>
          <w14:ligatures w14:val="none"/>
        </w:rPr>
      </w:pPr>
      <w:r w:rsidRPr="00FB69C0">
        <w:rPr>
          <w:rFonts w:ascii="Tahoma" w:eastAsia="Times New Roman" w:hAnsi="Tahoma" w:cs="Tahoma"/>
          <w:color w:val="DC3B33"/>
          <w:kern w:val="36"/>
          <w:sz w:val="45"/>
          <w:szCs w:val="45"/>
          <w:lang w:eastAsia="it-IT"/>
          <w14:ligatures w14:val="none"/>
        </w:rPr>
        <w:t>Le falsità della propaganda politica e commerciale sugli aumenti spettanti a docenti e Ata</w:t>
      </w:r>
    </w:p>
    <w:p w14:paraId="7EBEAA3C" w14:textId="77777777" w:rsidR="00FB69C0" w:rsidRPr="00FB69C0" w:rsidRDefault="00FB69C0" w:rsidP="00FB69C0">
      <w:pPr>
        <w:shd w:val="clear" w:color="auto" w:fill="EFEFEF"/>
        <w:spacing w:before="75" w:after="75" w:line="240" w:lineRule="auto"/>
        <w:outlineLvl w:val="3"/>
        <w:rPr>
          <w:rFonts w:ascii="Arial" w:eastAsia="Times New Roman" w:hAnsi="Arial" w:cs="Arial"/>
          <w:color w:val="535353"/>
          <w:kern w:val="0"/>
          <w:sz w:val="27"/>
          <w:szCs w:val="27"/>
          <w:lang w:eastAsia="it-IT"/>
          <w14:ligatures w14:val="none"/>
        </w:rPr>
      </w:pPr>
      <w:r w:rsidRPr="00FB69C0">
        <w:rPr>
          <w:rFonts w:ascii="Arial" w:eastAsia="Times New Roman" w:hAnsi="Arial" w:cs="Arial"/>
          <w:color w:val="535353"/>
          <w:kern w:val="0"/>
          <w:sz w:val="27"/>
          <w:szCs w:val="27"/>
          <w:lang w:eastAsia="it-IT"/>
          <w14:ligatures w14:val="none"/>
        </w:rPr>
        <w:t>La muta eloquenza dei numeri e la triste realtà di una legge di bilancio che non stanzia neanche le risorse per tutelare gli stipendi dall’inflazione</w:t>
      </w:r>
    </w:p>
    <w:p w14:paraId="7395B655" w14:textId="77777777" w:rsidR="00FB69C0" w:rsidRPr="00FB69C0" w:rsidRDefault="00FB69C0" w:rsidP="00FB69C0">
      <w:pPr>
        <w:shd w:val="clear" w:color="auto" w:fill="EFEFEF"/>
        <w:spacing w:after="0" w:line="240" w:lineRule="auto"/>
        <w:rPr>
          <w:rFonts w:ascii="Arial" w:eastAsia="Times New Roman" w:hAnsi="Arial" w:cs="Arial"/>
          <w:color w:val="4D4D4D"/>
          <w:kern w:val="0"/>
          <w:sz w:val="21"/>
          <w:szCs w:val="21"/>
          <w:lang w:eastAsia="it-IT"/>
          <w14:ligatures w14:val="none"/>
        </w:rPr>
      </w:pPr>
      <w:r w:rsidRPr="00FB69C0">
        <w:rPr>
          <w:rFonts w:ascii="Arial" w:eastAsia="Times New Roman" w:hAnsi="Arial" w:cs="Arial"/>
          <w:b/>
          <w:bCs/>
          <w:color w:val="4D4D4D"/>
          <w:kern w:val="0"/>
          <w:sz w:val="21"/>
          <w:szCs w:val="21"/>
          <w:lang w:eastAsia="it-IT"/>
          <w14:ligatures w14:val="none"/>
        </w:rPr>
        <w:t>31/12/2024</w:t>
      </w:r>
    </w:p>
    <w:p w14:paraId="1978459F" w14:textId="77777777" w:rsidR="00FB69C0" w:rsidRDefault="00FB69C0" w:rsidP="00FB69C0">
      <w:pPr>
        <w:shd w:val="clear" w:color="auto" w:fill="EFEFEF"/>
        <w:spacing w:before="75" w:after="75" w:line="240" w:lineRule="auto"/>
        <w:outlineLvl w:val="3"/>
        <w:rPr>
          <w:rFonts w:ascii="Arial" w:eastAsia="Times New Roman" w:hAnsi="Arial" w:cs="Arial"/>
          <w:b/>
          <w:bCs/>
          <w:color w:val="535353"/>
          <w:kern w:val="0"/>
          <w:sz w:val="27"/>
          <w:szCs w:val="27"/>
          <w:lang w:eastAsia="it-IT"/>
          <w14:ligatures w14:val="none"/>
        </w:rPr>
      </w:pPr>
    </w:p>
    <w:p w14:paraId="77228D9D" w14:textId="2F84ECAC" w:rsidR="00FB69C0" w:rsidRPr="00FB69C0" w:rsidRDefault="00FB69C0" w:rsidP="00FB69C0">
      <w:pPr>
        <w:shd w:val="clear" w:color="auto" w:fill="EFEFEF"/>
        <w:spacing w:before="75" w:after="75" w:line="240" w:lineRule="auto"/>
        <w:outlineLvl w:val="3"/>
        <w:rPr>
          <w:rFonts w:ascii="Arial" w:eastAsia="Times New Roman" w:hAnsi="Arial" w:cs="Arial"/>
          <w:color w:val="535353"/>
          <w:kern w:val="0"/>
          <w:sz w:val="27"/>
          <w:szCs w:val="27"/>
          <w:lang w:eastAsia="it-IT"/>
          <w14:ligatures w14:val="none"/>
        </w:rPr>
      </w:pPr>
      <w:r w:rsidRPr="00FB69C0">
        <w:rPr>
          <w:rFonts w:ascii="Arial" w:eastAsia="Times New Roman" w:hAnsi="Arial" w:cs="Arial"/>
          <w:b/>
          <w:bCs/>
          <w:color w:val="535353"/>
          <w:kern w:val="0"/>
          <w:sz w:val="27"/>
          <w:szCs w:val="27"/>
          <w:lang w:eastAsia="it-IT"/>
          <w14:ligatures w14:val="none"/>
        </w:rPr>
        <w:t>Mancato adeguamento stipendiale</w:t>
      </w:r>
    </w:p>
    <w:p w14:paraId="039FB274" w14:textId="77777777" w:rsidR="00FB69C0" w:rsidRPr="00FB69C0" w:rsidRDefault="00FB69C0" w:rsidP="00FB69C0">
      <w:pPr>
        <w:shd w:val="clear" w:color="auto" w:fill="EFEFEF"/>
        <w:spacing w:after="225" w:line="240" w:lineRule="auto"/>
        <w:jc w:val="both"/>
        <w:rPr>
          <w:rFonts w:ascii="Arial" w:eastAsia="Times New Roman" w:hAnsi="Arial" w:cs="Arial"/>
          <w:color w:val="000000"/>
          <w:kern w:val="0"/>
          <w:sz w:val="21"/>
          <w:szCs w:val="21"/>
          <w:lang w:eastAsia="it-IT"/>
          <w14:ligatures w14:val="none"/>
        </w:rPr>
      </w:pPr>
      <w:r w:rsidRPr="00FB69C0">
        <w:rPr>
          <w:rFonts w:ascii="Arial" w:eastAsia="Times New Roman" w:hAnsi="Arial" w:cs="Arial"/>
          <w:color w:val="000000"/>
          <w:kern w:val="0"/>
          <w:sz w:val="21"/>
          <w:szCs w:val="21"/>
          <w:lang w:eastAsia="it-IT"/>
          <w14:ligatures w14:val="none"/>
        </w:rPr>
        <w:t>La legge di bilancio 2025 ha incrementato le risorse destinate al rinnovo contrattuale 2022/24 di appena lo 0,22% (sic!) prevedendo un complessivo </w:t>
      </w:r>
      <w:r w:rsidRPr="00FB69C0">
        <w:rPr>
          <w:rFonts w:ascii="Arial" w:eastAsia="Times New Roman" w:hAnsi="Arial" w:cs="Arial"/>
          <w:b/>
          <w:bCs/>
          <w:i/>
          <w:iCs/>
          <w:color w:val="000000"/>
          <w:kern w:val="0"/>
          <w:sz w:val="21"/>
          <w:szCs w:val="21"/>
          <w:lang w:eastAsia="it-IT"/>
          <w14:ligatures w14:val="none"/>
        </w:rPr>
        <w:t>aumento stipendiale del 6%</w:t>
      </w:r>
      <w:r w:rsidRPr="00FB69C0">
        <w:rPr>
          <w:rFonts w:ascii="Arial" w:eastAsia="Times New Roman" w:hAnsi="Arial" w:cs="Arial"/>
          <w:color w:val="000000"/>
          <w:kern w:val="0"/>
          <w:sz w:val="21"/>
          <w:szCs w:val="21"/>
          <w:lang w:eastAsia="it-IT"/>
          <w14:ligatures w14:val="none"/>
        </w:rPr>
        <w:t> rispetto ad un’inflazione che nel triennio </w:t>
      </w:r>
      <w:r w:rsidRPr="00FB69C0">
        <w:rPr>
          <w:rFonts w:ascii="Arial" w:eastAsia="Times New Roman" w:hAnsi="Arial" w:cs="Arial"/>
          <w:b/>
          <w:bCs/>
          <w:i/>
          <w:iCs/>
          <w:color w:val="000000"/>
          <w:kern w:val="0"/>
          <w:sz w:val="21"/>
          <w:szCs w:val="21"/>
          <w:lang w:eastAsia="it-IT"/>
          <w14:ligatures w14:val="none"/>
        </w:rPr>
        <w:t>è stata tre volte tanto (quasi il 18%).</w:t>
      </w:r>
    </w:p>
    <w:p w14:paraId="208DCDB5" w14:textId="3613B503" w:rsidR="00FB69C0" w:rsidRPr="00FB69C0" w:rsidRDefault="00FB69C0" w:rsidP="00FB69C0">
      <w:pPr>
        <w:shd w:val="clear" w:color="auto" w:fill="EFEFEF"/>
        <w:spacing w:after="225" w:line="240" w:lineRule="auto"/>
        <w:jc w:val="both"/>
        <w:rPr>
          <w:rFonts w:ascii="Arial" w:eastAsia="Times New Roman" w:hAnsi="Arial" w:cs="Arial"/>
          <w:color w:val="000000"/>
          <w:kern w:val="0"/>
          <w:sz w:val="21"/>
          <w:szCs w:val="21"/>
          <w:lang w:eastAsia="it-IT"/>
          <w14:ligatures w14:val="none"/>
        </w:rPr>
      </w:pPr>
      <w:r w:rsidRPr="00FB69C0">
        <w:rPr>
          <w:rFonts w:ascii="Arial" w:eastAsia="Times New Roman" w:hAnsi="Arial" w:cs="Arial"/>
          <w:color w:val="000000"/>
          <w:kern w:val="0"/>
          <w:sz w:val="21"/>
          <w:szCs w:val="21"/>
          <w:lang w:eastAsia="it-IT"/>
          <w14:ligatures w14:val="none"/>
        </w:rPr>
        <w:t>Ciò significa che a fronte dell’esigenza di </w:t>
      </w:r>
      <w:r w:rsidRPr="00FB69C0">
        <w:rPr>
          <w:rFonts w:ascii="Arial" w:eastAsia="Times New Roman" w:hAnsi="Arial" w:cs="Arial"/>
          <w:b/>
          <w:bCs/>
          <w:i/>
          <w:iCs/>
          <w:color w:val="000000"/>
          <w:kern w:val="0"/>
          <w:sz w:val="21"/>
          <w:szCs w:val="21"/>
          <w:lang w:eastAsia="it-IT"/>
          <w14:ligatures w14:val="none"/>
        </w:rPr>
        <w:t>un incremento di almeno 400 euro mensili</w:t>
      </w:r>
      <w:r w:rsidRPr="00FB69C0">
        <w:rPr>
          <w:rFonts w:ascii="Arial" w:eastAsia="Times New Roman" w:hAnsi="Arial" w:cs="Arial"/>
          <w:color w:val="000000"/>
          <w:kern w:val="0"/>
          <w:sz w:val="21"/>
          <w:szCs w:val="21"/>
          <w:lang w:eastAsia="it-IT"/>
          <w14:ligatures w14:val="none"/>
        </w:rPr>
        <w:t> necessario per tutelare pienamente gli stipendi dall’inflazione, il Governo ha disposto </w:t>
      </w:r>
      <w:r w:rsidRPr="00FB69C0">
        <w:rPr>
          <w:rFonts w:ascii="Arial" w:eastAsia="Times New Roman" w:hAnsi="Arial" w:cs="Arial"/>
          <w:b/>
          <w:bCs/>
          <w:i/>
          <w:iCs/>
          <w:color w:val="000000"/>
          <w:kern w:val="0"/>
          <w:sz w:val="21"/>
          <w:szCs w:val="21"/>
          <w:lang w:eastAsia="it-IT"/>
          <w14:ligatures w14:val="none"/>
        </w:rPr>
        <w:t>un aumento di appena 140 euro</w:t>
      </w:r>
      <w:r w:rsidRPr="00FB69C0">
        <w:rPr>
          <w:rFonts w:ascii="Arial" w:eastAsia="Times New Roman" w:hAnsi="Arial" w:cs="Arial"/>
          <w:i/>
          <w:iCs/>
          <w:color w:val="000000"/>
          <w:kern w:val="0"/>
          <w:sz w:val="21"/>
          <w:szCs w:val="21"/>
          <w:lang w:eastAsia="it-IT"/>
          <w14:ligatures w14:val="none"/>
        </w:rPr>
        <w:t>.</w:t>
      </w:r>
    </w:p>
    <w:p w14:paraId="7B1949C1" w14:textId="77777777" w:rsidR="00FB69C0" w:rsidRPr="00FB69C0" w:rsidRDefault="00FB69C0" w:rsidP="00FB69C0">
      <w:pPr>
        <w:shd w:val="clear" w:color="auto" w:fill="EFEFEF"/>
        <w:spacing w:after="225" w:line="240" w:lineRule="auto"/>
        <w:jc w:val="both"/>
        <w:rPr>
          <w:rFonts w:ascii="Arial" w:eastAsia="Times New Roman" w:hAnsi="Arial" w:cs="Arial"/>
          <w:color w:val="000000"/>
          <w:kern w:val="0"/>
          <w:sz w:val="21"/>
          <w:szCs w:val="21"/>
          <w:lang w:eastAsia="it-IT"/>
          <w14:ligatures w14:val="none"/>
        </w:rPr>
      </w:pPr>
      <w:r w:rsidRPr="00FB69C0">
        <w:rPr>
          <w:rFonts w:ascii="Arial" w:eastAsia="Times New Roman" w:hAnsi="Arial" w:cs="Arial"/>
          <w:color w:val="000000"/>
          <w:kern w:val="0"/>
          <w:sz w:val="21"/>
          <w:szCs w:val="21"/>
          <w:lang w:eastAsia="it-IT"/>
          <w14:ligatures w14:val="none"/>
        </w:rPr>
        <w:t>Così facendo gli stipendi del personale della scuola, già tra i più bassi d’Europa, subiranno un ulteriore arretramento determinando una corrispondente caduta del potere d’acquisto oltre che del prestigio sociale della categoria.</w:t>
      </w:r>
    </w:p>
    <w:p w14:paraId="142F6960" w14:textId="77777777" w:rsidR="00FB69C0" w:rsidRPr="00FB69C0" w:rsidRDefault="00FB69C0" w:rsidP="00FB69C0">
      <w:pPr>
        <w:shd w:val="clear" w:color="auto" w:fill="EFEFEF"/>
        <w:spacing w:before="75" w:after="75" w:line="240" w:lineRule="auto"/>
        <w:outlineLvl w:val="3"/>
        <w:rPr>
          <w:rFonts w:ascii="Arial" w:eastAsia="Times New Roman" w:hAnsi="Arial" w:cs="Arial"/>
          <w:color w:val="535353"/>
          <w:kern w:val="0"/>
          <w:sz w:val="27"/>
          <w:szCs w:val="27"/>
          <w:lang w:eastAsia="it-IT"/>
          <w14:ligatures w14:val="none"/>
        </w:rPr>
      </w:pPr>
      <w:r w:rsidRPr="00FB69C0">
        <w:rPr>
          <w:rFonts w:ascii="Arial" w:eastAsia="Times New Roman" w:hAnsi="Arial" w:cs="Arial"/>
          <w:b/>
          <w:bCs/>
          <w:color w:val="535353"/>
          <w:kern w:val="0"/>
          <w:sz w:val="27"/>
          <w:szCs w:val="27"/>
          <w:lang w:eastAsia="it-IT"/>
          <w14:ligatures w14:val="none"/>
        </w:rPr>
        <w:t>Tra propaganda e commercio</w:t>
      </w:r>
    </w:p>
    <w:p w14:paraId="79EA4FE1" w14:textId="77777777" w:rsidR="00FB69C0" w:rsidRPr="00FB69C0" w:rsidRDefault="00FB69C0" w:rsidP="00FB69C0">
      <w:pPr>
        <w:shd w:val="clear" w:color="auto" w:fill="EFEFEF"/>
        <w:spacing w:after="225" w:line="240" w:lineRule="auto"/>
        <w:jc w:val="both"/>
        <w:rPr>
          <w:rFonts w:ascii="Arial" w:eastAsia="Times New Roman" w:hAnsi="Arial" w:cs="Arial"/>
          <w:color w:val="000000"/>
          <w:kern w:val="0"/>
          <w:sz w:val="21"/>
          <w:szCs w:val="21"/>
          <w:lang w:eastAsia="it-IT"/>
          <w14:ligatures w14:val="none"/>
        </w:rPr>
      </w:pPr>
      <w:r w:rsidRPr="00FB69C0">
        <w:rPr>
          <w:rFonts w:ascii="Arial" w:eastAsia="Times New Roman" w:hAnsi="Arial" w:cs="Arial"/>
          <w:color w:val="000000"/>
          <w:kern w:val="0"/>
          <w:sz w:val="21"/>
          <w:szCs w:val="21"/>
          <w:lang w:eastAsia="it-IT"/>
          <w14:ligatures w14:val="none"/>
        </w:rPr>
        <w:t>Contro questa evidenza alcuni siti informativi (ed anche certi esponenti governativi) nei giorni scorsi si sono profusi in improbabili giochi di prestigio aritmetici per annunciare cifre mirabolanti tra incrementi e arretrati: </w:t>
      </w:r>
      <w:r w:rsidRPr="00FB69C0">
        <w:rPr>
          <w:rFonts w:ascii="Arial" w:eastAsia="Times New Roman" w:hAnsi="Arial" w:cs="Arial"/>
          <w:b/>
          <w:bCs/>
          <w:color w:val="000000"/>
          <w:kern w:val="0"/>
          <w:sz w:val="21"/>
          <w:szCs w:val="21"/>
          <w:lang w:eastAsia="it-IT"/>
          <w14:ligatures w14:val="none"/>
        </w:rPr>
        <w:t>300 euro mensili</w:t>
      </w:r>
      <w:r w:rsidRPr="00FB69C0">
        <w:rPr>
          <w:rFonts w:ascii="Arial" w:eastAsia="Times New Roman" w:hAnsi="Arial" w:cs="Arial"/>
          <w:color w:val="000000"/>
          <w:kern w:val="0"/>
          <w:sz w:val="21"/>
          <w:szCs w:val="21"/>
          <w:lang w:eastAsia="it-IT"/>
          <w14:ligatures w14:val="none"/>
        </w:rPr>
        <w:t> di aumento a partire da gennaio, </w:t>
      </w:r>
      <w:r w:rsidRPr="00FB69C0">
        <w:rPr>
          <w:rFonts w:ascii="Arial" w:eastAsia="Times New Roman" w:hAnsi="Arial" w:cs="Arial"/>
          <w:b/>
          <w:bCs/>
          <w:color w:val="000000"/>
          <w:kern w:val="0"/>
          <w:sz w:val="21"/>
          <w:szCs w:val="21"/>
          <w:lang w:eastAsia="it-IT"/>
          <w14:ligatures w14:val="none"/>
        </w:rPr>
        <w:t>3.000 euro di arretrati </w:t>
      </w:r>
      <w:r w:rsidRPr="00FB69C0">
        <w:rPr>
          <w:rFonts w:ascii="Arial" w:eastAsia="Times New Roman" w:hAnsi="Arial" w:cs="Arial"/>
          <w:color w:val="000000"/>
          <w:kern w:val="0"/>
          <w:sz w:val="21"/>
          <w:szCs w:val="21"/>
          <w:lang w:eastAsia="it-IT"/>
          <w14:ligatures w14:val="none"/>
        </w:rPr>
        <w:t>nel 2025</w:t>
      </w:r>
      <w:r w:rsidRPr="00FB69C0">
        <w:rPr>
          <w:rFonts w:ascii="Arial" w:eastAsia="Times New Roman" w:hAnsi="Arial" w:cs="Arial"/>
          <w:b/>
          <w:bCs/>
          <w:color w:val="000000"/>
          <w:kern w:val="0"/>
          <w:sz w:val="21"/>
          <w:szCs w:val="21"/>
          <w:lang w:eastAsia="it-IT"/>
          <w14:ligatures w14:val="none"/>
        </w:rPr>
        <w:t>.</w:t>
      </w:r>
    </w:p>
    <w:p w14:paraId="2D0759EF" w14:textId="77777777" w:rsidR="00FB69C0" w:rsidRPr="00FB69C0" w:rsidRDefault="00FB69C0" w:rsidP="00FB69C0">
      <w:pPr>
        <w:shd w:val="clear" w:color="auto" w:fill="EFEFEF"/>
        <w:spacing w:after="225" w:line="240" w:lineRule="auto"/>
        <w:jc w:val="both"/>
        <w:rPr>
          <w:rFonts w:ascii="Arial" w:eastAsia="Times New Roman" w:hAnsi="Arial" w:cs="Arial"/>
          <w:color w:val="000000"/>
          <w:kern w:val="0"/>
          <w:sz w:val="21"/>
          <w:szCs w:val="21"/>
          <w:lang w:eastAsia="it-IT"/>
          <w14:ligatures w14:val="none"/>
        </w:rPr>
      </w:pPr>
      <w:r w:rsidRPr="00FB69C0">
        <w:rPr>
          <w:rFonts w:ascii="Arial" w:eastAsia="Times New Roman" w:hAnsi="Arial" w:cs="Arial"/>
          <w:color w:val="000000"/>
          <w:kern w:val="0"/>
          <w:sz w:val="21"/>
          <w:szCs w:val="21"/>
          <w:lang w:eastAsia="it-IT"/>
          <w14:ligatures w14:val="none"/>
        </w:rPr>
        <w:t>Senonché i 300 euro di aumento non sarebbero altro che la somma degli effetti di un contratto (2022/24) di cui ancora non sono state avviate neanche le trattative con quelli di un successivo contratto ancora di là a venire (2025/27) e che non potrà essere definito se prima non si chiude il precedente. Omettendo inoltre di ricordare che circa la metà degli aumenti previsti per il contratto 2022/24 (70 euro) è già in busta paga perché elargita unilateralmente dal governo lo scorso dicembre 2023 con il </w:t>
      </w:r>
      <w:hyperlink r:id="rId5" w:tgtFrame="_blank" w:history="1">
        <w:r w:rsidRPr="00FB69C0">
          <w:rPr>
            <w:rFonts w:ascii="Arial" w:eastAsia="Times New Roman" w:hAnsi="Arial" w:cs="Arial"/>
            <w:color w:val="005EB3"/>
            <w:kern w:val="0"/>
            <w:sz w:val="21"/>
            <w:szCs w:val="21"/>
            <w:lang w:eastAsia="it-IT"/>
            <w14:ligatures w14:val="none"/>
          </w:rPr>
          <w:t>famoso “pacco” di natale</w:t>
        </w:r>
      </w:hyperlink>
      <w:r w:rsidRPr="00FB69C0">
        <w:rPr>
          <w:rFonts w:ascii="Arial" w:eastAsia="Times New Roman" w:hAnsi="Arial" w:cs="Arial"/>
          <w:color w:val="000000"/>
          <w:kern w:val="0"/>
          <w:sz w:val="21"/>
          <w:szCs w:val="21"/>
          <w:lang w:eastAsia="it-IT"/>
          <w14:ligatures w14:val="none"/>
        </w:rPr>
        <w:t> e che questo aumento è ben al di sotto all’inflazione come sopra illustrato. Infine gli arretrati non sarebbero altro che la somma degli aumenti futuribili, tutti da concretizzare e quantificare, tra i due contratti sopra indicati entrambi ancora completamente da definire.</w:t>
      </w:r>
    </w:p>
    <w:p w14:paraId="0E11EE95" w14:textId="77777777" w:rsidR="00FB69C0" w:rsidRPr="00FB69C0" w:rsidRDefault="00FB69C0" w:rsidP="00FB69C0">
      <w:pPr>
        <w:shd w:val="clear" w:color="auto" w:fill="EFEFEF"/>
        <w:spacing w:after="225" w:line="240" w:lineRule="auto"/>
        <w:jc w:val="both"/>
        <w:rPr>
          <w:rFonts w:ascii="Arial" w:eastAsia="Times New Roman" w:hAnsi="Arial" w:cs="Arial"/>
          <w:color w:val="000000"/>
          <w:kern w:val="0"/>
          <w:sz w:val="21"/>
          <w:szCs w:val="21"/>
          <w:lang w:eastAsia="it-IT"/>
          <w14:ligatures w14:val="none"/>
        </w:rPr>
      </w:pPr>
      <w:r w:rsidRPr="00FB69C0">
        <w:rPr>
          <w:rFonts w:ascii="Arial" w:eastAsia="Times New Roman" w:hAnsi="Arial" w:cs="Arial"/>
          <w:color w:val="000000"/>
          <w:kern w:val="0"/>
          <w:sz w:val="21"/>
          <w:szCs w:val="21"/>
          <w:lang w:eastAsia="it-IT"/>
          <w14:ligatures w14:val="none"/>
        </w:rPr>
        <w:t>Tutto ciò con la conseguenza di alterare la realtà e magari indurre qualcuno, allettato dagli improbabili benefici in arrivo, a fruire dei servizi finanziari offerti dallo stesso sito che ha pubblicato le notizie fantasiose di cui sopra.</w:t>
      </w:r>
    </w:p>
    <w:p w14:paraId="60FA8BEA" w14:textId="77777777" w:rsidR="00FB69C0" w:rsidRPr="00FB69C0" w:rsidRDefault="00FB69C0" w:rsidP="00FB69C0">
      <w:pPr>
        <w:shd w:val="clear" w:color="auto" w:fill="EFEFEF"/>
        <w:spacing w:before="75" w:after="75" w:line="240" w:lineRule="auto"/>
        <w:outlineLvl w:val="3"/>
        <w:rPr>
          <w:rFonts w:ascii="Arial" w:eastAsia="Times New Roman" w:hAnsi="Arial" w:cs="Arial"/>
          <w:color w:val="535353"/>
          <w:kern w:val="0"/>
          <w:sz w:val="27"/>
          <w:szCs w:val="27"/>
          <w:lang w:eastAsia="it-IT"/>
          <w14:ligatures w14:val="none"/>
        </w:rPr>
      </w:pPr>
      <w:r w:rsidRPr="00FB69C0">
        <w:rPr>
          <w:rFonts w:ascii="Arial" w:eastAsia="Times New Roman" w:hAnsi="Arial" w:cs="Arial"/>
          <w:b/>
          <w:bCs/>
          <w:color w:val="535353"/>
          <w:kern w:val="0"/>
          <w:sz w:val="27"/>
          <w:szCs w:val="27"/>
          <w:lang w:eastAsia="it-IT"/>
          <w14:ligatures w14:val="none"/>
        </w:rPr>
        <w:t>La triste realtà</w:t>
      </w:r>
    </w:p>
    <w:p w14:paraId="06D67C48" w14:textId="77777777" w:rsidR="00FB69C0" w:rsidRPr="00FB69C0" w:rsidRDefault="00FB69C0" w:rsidP="00FB69C0">
      <w:pPr>
        <w:shd w:val="clear" w:color="auto" w:fill="EFEFEF"/>
        <w:spacing w:after="225" w:line="240" w:lineRule="auto"/>
        <w:jc w:val="both"/>
        <w:rPr>
          <w:rFonts w:ascii="Arial" w:eastAsia="Times New Roman" w:hAnsi="Arial" w:cs="Arial"/>
          <w:color w:val="000000"/>
          <w:kern w:val="0"/>
          <w:sz w:val="21"/>
          <w:szCs w:val="21"/>
          <w:lang w:eastAsia="it-IT"/>
          <w14:ligatures w14:val="none"/>
        </w:rPr>
      </w:pPr>
      <w:r w:rsidRPr="00FB69C0">
        <w:rPr>
          <w:rFonts w:ascii="Arial" w:eastAsia="Times New Roman" w:hAnsi="Arial" w:cs="Arial"/>
          <w:color w:val="000000"/>
          <w:kern w:val="0"/>
          <w:sz w:val="21"/>
          <w:szCs w:val="21"/>
          <w:lang w:eastAsia="it-IT"/>
          <w14:ligatures w14:val="none"/>
        </w:rPr>
        <w:t>Sollevando il velo della propaganda (politica e commerciale) emerge con forza la triste realtà, ovvero la forte penalizzazione a cui sono sottoposti i lavoratori della scuola, che non solo non ricevono gli aumenti spettanti in busta paga ma vengono perfino invogliati a indebitarsi rivolgendosi a soggetti finanziari che lucrano sulle aspettative da loro stessi indotte.</w:t>
      </w:r>
    </w:p>
    <w:p w14:paraId="6D6A9BB0" w14:textId="77777777" w:rsidR="00FB69C0" w:rsidRPr="00FB69C0" w:rsidRDefault="00FB69C0" w:rsidP="00FB69C0">
      <w:pPr>
        <w:shd w:val="clear" w:color="auto" w:fill="EFEFEF"/>
        <w:spacing w:after="225" w:line="240" w:lineRule="auto"/>
        <w:jc w:val="both"/>
        <w:rPr>
          <w:rFonts w:ascii="Arial" w:eastAsia="Times New Roman" w:hAnsi="Arial" w:cs="Arial"/>
          <w:color w:val="000000"/>
          <w:kern w:val="0"/>
          <w:sz w:val="21"/>
          <w:szCs w:val="21"/>
          <w:lang w:eastAsia="it-IT"/>
          <w14:ligatures w14:val="none"/>
        </w:rPr>
      </w:pPr>
      <w:r w:rsidRPr="00FB69C0">
        <w:rPr>
          <w:rFonts w:ascii="Arial" w:eastAsia="Times New Roman" w:hAnsi="Arial" w:cs="Arial"/>
          <w:b/>
          <w:bCs/>
          <w:i/>
          <w:iCs/>
          <w:color w:val="000000"/>
          <w:kern w:val="0"/>
          <w:sz w:val="21"/>
          <w:szCs w:val="21"/>
          <w:lang w:eastAsia="it-IT"/>
          <w14:ligatures w14:val="none"/>
        </w:rPr>
        <w:t>È di oltre 5 miliardi di euro il risparmio</w:t>
      </w:r>
      <w:r w:rsidRPr="00FB69C0">
        <w:rPr>
          <w:rFonts w:ascii="Arial" w:eastAsia="Times New Roman" w:hAnsi="Arial" w:cs="Arial"/>
          <w:color w:val="000000"/>
          <w:kern w:val="0"/>
          <w:sz w:val="21"/>
          <w:szCs w:val="21"/>
          <w:lang w:eastAsia="it-IT"/>
          <w14:ligatures w14:val="none"/>
        </w:rPr>
        <w:t> di cui beneficiano le casse pubbliche per il mancato finanziamento per adeguare gli stipendi al tasso di inflazione (a cui si aggiunge l’ulteriore risparmio per il taglio di organico del personale). Un cospicuo gruzzolo che ha consentito al Governo di varare una legge di bilancio che, anziché valorizzare la scuola statale, ha aumentato i finanziamenti per le scuole paritarie private e ha stanziato ingenti risorse per voci di spesa -come quelle per le armi- dalle finalità più che discutibili per un Paese come l’Italia che ripudia la guerra (come afferma la Costituzione).</w:t>
      </w:r>
    </w:p>
    <w:p w14:paraId="2DE39E5B" w14:textId="77777777" w:rsidR="00FB69C0" w:rsidRDefault="00FB69C0" w:rsidP="00FB69C0">
      <w:pPr>
        <w:shd w:val="clear" w:color="auto" w:fill="EFEFEF"/>
        <w:spacing w:after="225" w:line="240" w:lineRule="auto"/>
        <w:jc w:val="both"/>
        <w:rPr>
          <w:rFonts w:ascii="Arial" w:eastAsia="Times New Roman" w:hAnsi="Arial" w:cs="Arial"/>
          <w:color w:val="000000"/>
          <w:kern w:val="0"/>
          <w:sz w:val="21"/>
          <w:szCs w:val="21"/>
          <w:lang w:eastAsia="it-IT"/>
          <w14:ligatures w14:val="none"/>
        </w:rPr>
      </w:pPr>
      <w:r w:rsidRPr="00FB69C0">
        <w:rPr>
          <w:rFonts w:ascii="Arial" w:eastAsia="Times New Roman" w:hAnsi="Arial" w:cs="Arial"/>
          <w:color w:val="000000"/>
          <w:kern w:val="0"/>
          <w:sz w:val="21"/>
          <w:szCs w:val="21"/>
          <w:lang w:eastAsia="it-IT"/>
          <w14:ligatures w14:val="none"/>
        </w:rPr>
        <w:lastRenderedPageBreak/>
        <w:t>Come FLC CGIL non smetteremo di rivendicare le risorse necessarie per tutelare pienamente gli stipendi del personale della scuola, e di denunciare le sirene della propaganda politica o commerciale ogni volta che saranno attivate per danneggiare i diritti delle lavoratrici e dei lavoratori.</w:t>
      </w:r>
    </w:p>
    <w:p w14:paraId="201FC14A" w14:textId="77777777" w:rsidR="00BA41D5" w:rsidRPr="00BA41D5" w:rsidRDefault="00BA41D5" w:rsidP="00BA41D5">
      <w:pPr>
        <w:shd w:val="clear" w:color="auto" w:fill="EFEFEF"/>
        <w:spacing w:after="0" w:line="525" w:lineRule="atLeast"/>
        <w:outlineLvl w:val="0"/>
        <w:rPr>
          <w:rFonts w:ascii="Tahoma" w:eastAsia="Times New Roman" w:hAnsi="Tahoma" w:cs="Tahoma"/>
          <w:color w:val="DC3B33"/>
          <w:kern w:val="36"/>
          <w:sz w:val="45"/>
          <w:szCs w:val="45"/>
          <w:lang w:eastAsia="it-IT"/>
          <w14:ligatures w14:val="none"/>
        </w:rPr>
      </w:pPr>
      <w:r w:rsidRPr="00BA41D5">
        <w:rPr>
          <w:rFonts w:ascii="Tahoma" w:eastAsia="Times New Roman" w:hAnsi="Tahoma" w:cs="Tahoma"/>
          <w:color w:val="DC3B33"/>
          <w:kern w:val="36"/>
          <w:sz w:val="45"/>
          <w:szCs w:val="45"/>
          <w:lang w:eastAsia="it-IT"/>
          <w14:ligatures w14:val="none"/>
        </w:rPr>
        <w:t>Filiera formativa tecnologico-professionale: pubblicato il Decreto ministeriale sulla sperimentazione per l’anno scolastico 2025/26</w:t>
      </w:r>
    </w:p>
    <w:p w14:paraId="7D46F5D1" w14:textId="77777777" w:rsidR="00BA41D5" w:rsidRPr="00BA41D5" w:rsidRDefault="00BA41D5" w:rsidP="00BA41D5">
      <w:pPr>
        <w:shd w:val="clear" w:color="auto" w:fill="EFEFEF"/>
        <w:spacing w:before="75" w:after="75" w:line="240" w:lineRule="auto"/>
        <w:outlineLvl w:val="3"/>
        <w:rPr>
          <w:rFonts w:ascii="Arial" w:eastAsia="Times New Roman" w:hAnsi="Arial" w:cs="Arial"/>
          <w:color w:val="535353"/>
          <w:kern w:val="0"/>
          <w:sz w:val="27"/>
          <w:szCs w:val="27"/>
          <w:lang w:eastAsia="it-IT"/>
          <w14:ligatures w14:val="none"/>
        </w:rPr>
      </w:pPr>
      <w:r w:rsidRPr="00BA41D5">
        <w:rPr>
          <w:rFonts w:ascii="Arial" w:eastAsia="Times New Roman" w:hAnsi="Arial" w:cs="Arial"/>
          <w:color w:val="535353"/>
          <w:kern w:val="0"/>
          <w:sz w:val="27"/>
          <w:szCs w:val="27"/>
          <w:lang w:eastAsia="it-IT"/>
          <w14:ligatures w14:val="none"/>
        </w:rPr>
        <w:t>Sul sito del Ministero dell’Istruzione il provvedimento è stato pubblicato in data 2 gennaio 2025</w:t>
      </w:r>
    </w:p>
    <w:p w14:paraId="26514D23" w14:textId="77777777" w:rsidR="00BA41D5" w:rsidRPr="00BA41D5" w:rsidRDefault="00BA41D5" w:rsidP="00BA41D5">
      <w:pPr>
        <w:shd w:val="clear" w:color="auto" w:fill="EFEFEF"/>
        <w:spacing w:after="0" w:line="240" w:lineRule="auto"/>
        <w:rPr>
          <w:rFonts w:ascii="Arial" w:eastAsia="Times New Roman" w:hAnsi="Arial" w:cs="Arial"/>
          <w:color w:val="4D4D4D"/>
          <w:kern w:val="0"/>
          <w:sz w:val="21"/>
          <w:szCs w:val="21"/>
          <w:lang w:eastAsia="it-IT"/>
          <w14:ligatures w14:val="none"/>
        </w:rPr>
      </w:pPr>
      <w:r w:rsidRPr="00BA41D5">
        <w:rPr>
          <w:rFonts w:ascii="Arial" w:eastAsia="Times New Roman" w:hAnsi="Arial" w:cs="Arial"/>
          <w:b/>
          <w:bCs/>
          <w:color w:val="4D4D4D"/>
          <w:kern w:val="0"/>
          <w:sz w:val="21"/>
          <w:szCs w:val="21"/>
          <w:lang w:eastAsia="it-IT"/>
          <w14:ligatures w14:val="none"/>
        </w:rPr>
        <w:t>03/01/2025</w:t>
      </w:r>
    </w:p>
    <w:p w14:paraId="7C742208" w14:textId="77777777" w:rsidR="00BA41D5" w:rsidRDefault="00BA41D5" w:rsidP="00BA41D5">
      <w:pPr>
        <w:shd w:val="clear" w:color="auto" w:fill="EFEFEF"/>
        <w:spacing w:after="225" w:line="240" w:lineRule="auto"/>
        <w:jc w:val="both"/>
        <w:rPr>
          <w:rFonts w:ascii="Arial" w:eastAsia="Times New Roman" w:hAnsi="Arial" w:cs="Arial"/>
          <w:color w:val="000000"/>
          <w:kern w:val="0"/>
          <w:sz w:val="21"/>
          <w:szCs w:val="21"/>
          <w:lang w:eastAsia="it-IT"/>
          <w14:ligatures w14:val="none"/>
        </w:rPr>
      </w:pPr>
    </w:p>
    <w:p w14:paraId="38D4C147" w14:textId="75C75E28" w:rsidR="00BA41D5" w:rsidRPr="00BA41D5" w:rsidRDefault="00BA41D5" w:rsidP="00BA41D5">
      <w:pPr>
        <w:shd w:val="clear" w:color="auto" w:fill="EFEFEF"/>
        <w:spacing w:after="225" w:line="240" w:lineRule="auto"/>
        <w:jc w:val="both"/>
        <w:rPr>
          <w:rFonts w:ascii="Arial" w:eastAsia="Times New Roman" w:hAnsi="Arial" w:cs="Arial"/>
          <w:color w:val="000000"/>
          <w:kern w:val="0"/>
          <w:sz w:val="21"/>
          <w:szCs w:val="21"/>
          <w:lang w:eastAsia="it-IT"/>
          <w14:ligatures w14:val="none"/>
        </w:rPr>
      </w:pPr>
      <w:r w:rsidRPr="00BA41D5">
        <w:rPr>
          <w:rFonts w:ascii="Arial" w:eastAsia="Times New Roman" w:hAnsi="Arial" w:cs="Arial"/>
          <w:color w:val="000000"/>
          <w:kern w:val="0"/>
          <w:sz w:val="21"/>
          <w:szCs w:val="21"/>
          <w:lang w:eastAsia="it-IT"/>
          <w14:ligatures w14:val="none"/>
        </w:rPr>
        <w:t>In data 2 gennaio 2025 è apparso sul sito del Ministero il </w:t>
      </w:r>
      <w:hyperlink r:id="rId6" w:tgtFrame="_blank" w:history="1">
        <w:r w:rsidRPr="00BA41D5">
          <w:rPr>
            <w:rFonts w:ascii="Arial" w:eastAsia="Times New Roman" w:hAnsi="Arial" w:cs="Arial"/>
            <w:color w:val="005EB3"/>
            <w:kern w:val="0"/>
            <w:sz w:val="21"/>
            <w:szCs w:val="21"/>
            <w:lang w:eastAsia="it-IT"/>
            <w14:ligatures w14:val="none"/>
          </w:rPr>
          <w:t>Decreto ministeriale 256 del 16 dicembre 2024</w:t>
        </w:r>
      </w:hyperlink>
      <w:r w:rsidRPr="00BA41D5">
        <w:rPr>
          <w:rFonts w:ascii="Arial" w:eastAsia="Times New Roman" w:hAnsi="Arial" w:cs="Arial"/>
          <w:color w:val="000000"/>
          <w:kern w:val="0"/>
          <w:sz w:val="21"/>
          <w:szCs w:val="21"/>
          <w:lang w:eastAsia="it-IT"/>
          <w14:ligatures w14:val="none"/>
        </w:rPr>
        <w:t> attuativo dell’art. 25 bis, comma 2 del </w:t>
      </w:r>
      <w:r w:rsidRPr="00BA41D5">
        <w:rPr>
          <w:rFonts w:ascii="Arial" w:eastAsia="Times New Roman" w:hAnsi="Arial" w:cs="Arial"/>
          <w:b/>
          <w:bCs/>
          <w:color w:val="000000"/>
          <w:kern w:val="0"/>
          <w:sz w:val="21"/>
          <w:szCs w:val="21"/>
          <w:lang w:eastAsia="it-IT"/>
          <w14:ligatures w14:val="none"/>
        </w:rPr>
        <w:t>DL 144/2024</w:t>
      </w:r>
      <w:r w:rsidRPr="00BA41D5">
        <w:rPr>
          <w:rFonts w:ascii="Arial" w:eastAsia="Times New Roman" w:hAnsi="Arial" w:cs="Arial"/>
          <w:color w:val="000000"/>
          <w:kern w:val="0"/>
          <w:sz w:val="21"/>
          <w:szCs w:val="21"/>
          <w:lang w:eastAsia="it-IT"/>
          <w14:ligatures w14:val="none"/>
        </w:rPr>
        <w:t> relativo alla sperimentazione della filiera formativa tecnologico professionale (cosiddetto 4+2) per l’anno scolastico 2025-2026 di cui avevamo già dato </w:t>
      </w:r>
      <w:hyperlink r:id="rId7" w:tgtFrame="_blank" w:history="1">
        <w:r w:rsidRPr="00BA41D5">
          <w:rPr>
            <w:rFonts w:ascii="Arial" w:eastAsia="Times New Roman" w:hAnsi="Arial" w:cs="Arial"/>
            <w:color w:val="005EB3"/>
            <w:kern w:val="0"/>
            <w:sz w:val="21"/>
            <w:szCs w:val="21"/>
            <w:lang w:eastAsia="it-IT"/>
            <w14:ligatures w14:val="none"/>
          </w:rPr>
          <w:t>precedentemente notizia</w:t>
        </w:r>
      </w:hyperlink>
      <w:r w:rsidRPr="00BA41D5">
        <w:rPr>
          <w:rFonts w:ascii="Arial" w:eastAsia="Times New Roman" w:hAnsi="Arial" w:cs="Arial"/>
          <w:color w:val="000000"/>
          <w:kern w:val="0"/>
          <w:sz w:val="21"/>
          <w:szCs w:val="21"/>
          <w:lang w:eastAsia="it-IT"/>
          <w14:ligatures w14:val="none"/>
        </w:rPr>
        <w:t> e che preannuncia (Art. 3 comma 1) i contenuti dell’apposito avviso nazionale di selezione pubblica.</w:t>
      </w:r>
    </w:p>
    <w:p w14:paraId="5507838E" w14:textId="77777777" w:rsidR="00BA41D5" w:rsidRPr="00BA41D5" w:rsidRDefault="00BA41D5" w:rsidP="00BA41D5">
      <w:pPr>
        <w:shd w:val="clear" w:color="auto" w:fill="EFEFEF"/>
        <w:spacing w:after="225" w:line="240" w:lineRule="auto"/>
        <w:jc w:val="both"/>
        <w:rPr>
          <w:rFonts w:ascii="Arial" w:eastAsia="Times New Roman" w:hAnsi="Arial" w:cs="Arial"/>
          <w:color w:val="000000"/>
          <w:kern w:val="0"/>
          <w:sz w:val="21"/>
          <w:szCs w:val="21"/>
          <w:lang w:eastAsia="it-IT"/>
          <w14:ligatures w14:val="none"/>
        </w:rPr>
      </w:pPr>
      <w:r w:rsidRPr="00BA41D5">
        <w:rPr>
          <w:rFonts w:ascii="Arial" w:eastAsia="Times New Roman" w:hAnsi="Arial" w:cs="Arial"/>
          <w:color w:val="000000"/>
          <w:kern w:val="0"/>
          <w:sz w:val="21"/>
          <w:szCs w:val="21"/>
          <w:lang w:eastAsia="it-IT"/>
          <w14:ligatures w14:val="none"/>
        </w:rPr>
        <w:t>Ricordiamo che il 6 settembre 2024 è già entrata in vigore la </w:t>
      </w:r>
      <w:hyperlink r:id="rId8" w:tgtFrame="_blank" w:history="1">
        <w:r w:rsidRPr="00BA41D5">
          <w:rPr>
            <w:rFonts w:ascii="Arial" w:eastAsia="Times New Roman" w:hAnsi="Arial" w:cs="Arial"/>
            <w:color w:val="005EB3"/>
            <w:kern w:val="0"/>
            <w:sz w:val="21"/>
            <w:szCs w:val="21"/>
            <w:lang w:eastAsia="it-IT"/>
            <w14:ligatures w14:val="none"/>
          </w:rPr>
          <w:t>Legge 121 dell'8 agosto 2024</w:t>
        </w:r>
      </w:hyperlink>
      <w:r w:rsidRPr="00BA41D5">
        <w:rPr>
          <w:rFonts w:ascii="Arial" w:eastAsia="Times New Roman" w:hAnsi="Arial" w:cs="Arial"/>
          <w:color w:val="000000"/>
          <w:kern w:val="0"/>
          <w:sz w:val="21"/>
          <w:szCs w:val="21"/>
          <w:lang w:eastAsia="it-IT"/>
          <w14:ligatures w14:val="none"/>
        </w:rPr>
        <w:t>, che ha integrato il decreto-legge n. 144 del 2022 con l’</w:t>
      </w:r>
      <w:r w:rsidRPr="00BA41D5">
        <w:rPr>
          <w:rFonts w:ascii="Arial" w:eastAsia="Times New Roman" w:hAnsi="Arial" w:cs="Arial"/>
          <w:b/>
          <w:bCs/>
          <w:color w:val="000000"/>
          <w:kern w:val="0"/>
          <w:sz w:val="21"/>
          <w:szCs w:val="21"/>
          <w:lang w:eastAsia="it-IT"/>
          <w14:ligatures w14:val="none"/>
        </w:rPr>
        <w:t>articolo 25-bis</w:t>
      </w:r>
      <w:r w:rsidRPr="00BA41D5">
        <w:rPr>
          <w:rFonts w:ascii="Arial" w:eastAsia="Times New Roman" w:hAnsi="Arial" w:cs="Arial"/>
          <w:color w:val="000000"/>
          <w:kern w:val="0"/>
          <w:sz w:val="21"/>
          <w:szCs w:val="21"/>
          <w:lang w:eastAsia="it-IT"/>
          <w14:ligatures w14:val="none"/>
        </w:rPr>
        <w:t>, </w:t>
      </w:r>
      <w:r w:rsidRPr="00BA41D5">
        <w:rPr>
          <w:rFonts w:ascii="Arial" w:eastAsia="Times New Roman" w:hAnsi="Arial" w:cs="Arial"/>
          <w:b/>
          <w:bCs/>
          <w:color w:val="000000"/>
          <w:kern w:val="0"/>
          <w:sz w:val="21"/>
          <w:szCs w:val="21"/>
          <w:lang w:eastAsia="it-IT"/>
          <w14:ligatures w14:val="none"/>
        </w:rPr>
        <w:t>istitutivo della filiera formativa tecnologico-professionale</w:t>
      </w:r>
      <w:r w:rsidRPr="00BA41D5">
        <w:rPr>
          <w:rFonts w:ascii="Arial" w:eastAsia="Times New Roman" w:hAnsi="Arial" w:cs="Arial"/>
          <w:color w:val="000000"/>
          <w:kern w:val="0"/>
          <w:sz w:val="21"/>
          <w:szCs w:val="21"/>
          <w:lang w:eastAsia="it-IT"/>
          <w14:ligatures w14:val="none"/>
        </w:rPr>
        <w:t>, eppure si è resa necessaria la via del rinnovo della sperimentazione tracciata dal nuovo DM n. 256/24 per dare continuità al piano nazionale di sperimentazione della filiera tecnologico-professionale dopo il </w:t>
      </w:r>
      <w:hyperlink r:id="rId9" w:tgtFrame="_blank" w:history="1">
        <w:r w:rsidRPr="00BA41D5">
          <w:rPr>
            <w:rFonts w:ascii="Arial" w:eastAsia="Times New Roman" w:hAnsi="Arial" w:cs="Arial"/>
            <w:color w:val="005EB3"/>
            <w:kern w:val="0"/>
            <w:sz w:val="21"/>
            <w:szCs w:val="21"/>
            <w:lang w:eastAsia="it-IT"/>
            <w14:ligatures w14:val="none"/>
          </w:rPr>
          <w:t>fallimentare </w:t>
        </w:r>
      </w:hyperlink>
      <w:r w:rsidRPr="00BA41D5">
        <w:rPr>
          <w:rFonts w:ascii="Arial" w:eastAsia="Times New Roman" w:hAnsi="Arial" w:cs="Arial"/>
          <w:color w:val="000000"/>
          <w:kern w:val="0"/>
          <w:sz w:val="21"/>
          <w:szCs w:val="21"/>
          <w:lang w:eastAsia="it-IT"/>
          <w14:ligatures w14:val="none"/>
        </w:rPr>
        <w:t xml:space="preserve">avvio del modello 4+2 nelle iscrizioni per </w:t>
      </w:r>
      <w:proofErr w:type="spellStart"/>
      <w:r w:rsidRPr="00BA41D5">
        <w:rPr>
          <w:rFonts w:ascii="Arial" w:eastAsia="Times New Roman" w:hAnsi="Arial" w:cs="Arial"/>
          <w:color w:val="000000"/>
          <w:kern w:val="0"/>
          <w:sz w:val="21"/>
          <w:szCs w:val="21"/>
          <w:lang w:eastAsia="it-IT"/>
          <w14:ligatures w14:val="none"/>
        </w:rPr>
        <w:t>l’a.s.</w:t>
      </w:r>
      <w:proofErr w:type="spellEnd"/>
      <w:r w:rsidRPr="00BA41D5">
        <w:rPr>
          <w:rFonts w:ascii="Arial" w:eastAsia="Times New Roman" w:hAnsi="Arial" w:cs="Arial"/>
          <w:color w:val="000000"/>
          <w:kern w:val="0"/>
          <w:sz w:val="21"/>
          <w:szCs w:val="21"/>
          <w:lang w:eastAsia="it-IT"/>
          <w14:ligatures w14:val="none"/>
        </w:rPr>
        <w:t xml:space="preserve"> 2024/2025  varato lo scorso anno scolastico con analogo provvedimento (</w:t>
      </w:r>
      <w:hyperlink r:id="rId10" w:tgtFrame="_blank" w:history="1">
        <w:r w:rsidRPr="00BA41D5">
          <w:rPr>
            <w:rFonts w:ascii="Arial" w:eastAsia="Times New Roman" w:hAnsi="Arial" w:cs="Arial"/>
            <w:color w:val="005EB3"/>
            <w:kern w:val="0"/>
            <w:sz w:val="21"/>
            <w:szCs w:val="21"/>
            <w:lang w:eastAsia="it-IT"/>
            <w14:ligatures w14:val="none"/>
          </w:rPr>
          <w:t>DM 240 del 7 dicembre 2023</w:t>
        </w:r>
      </w:hyperlink>
      <w:r w:rsidRPr="00BA41D5">
        <w:rPr>
          <w:rFonts w:ascii="Arial" w:eastAsia="Times New Roman" w:hAnsi="Arial" w:cs="Arial"/>
          <w:color w:val="000000"/>
          <w:kern w:val="0"/>
          <w:sz w:val="21"/>
          <w:szCs w:val="21"/>
          <w:lang w:eastAsia="it-IT"/>
          <w14:ligatures w14:val="none"/>
        </w:rPr>
        <w:t>).</w:t>
      </w:r>
    </w:p>
    <w:p w14:paraId="1C4EB25C" w14:textId="77777777" w:rsidR="00BA41D5" w:rsidRPr="00BA41D5" w:rsidRDefault="00BA41D5" w:rsidP="00BA41D5">
      <w:pPr>
        <w:shd w:val="clear" w:color="auto" w:fill="EFEFEF"/>
        <w:spacing w:after="225" w:line="240" w:lineRule="auto"/>
        <w:jc w:val="both"/>
        <w:rPr>
          <w:rFonts w:ascii="Arial" w:eastAsia="Times New Roman" w:hAnsi="Arial" w:cs="Arial"/>
          <w:color w:val="000000"/>
          <w:kern w:val="0"/>
          <w:sz w:val="21"/>
          <w:szCs w:val="21"/>
          <w:lang w:eastAsia="it-IT"/>
          <w14:ligatures w14:val="none"/>
        </w:rPr>
      </w:pPr>
      <w:r w:rsidRPr="00BA41D5">
        <w:rPr>
          <w:rFonts w:ascii="Arial" w:eastAsia="Times New Roman" w:hAnsi="Arial" w:cs="Arial"/>
          <w:color w:val="000000"/>
          <w:kern w:val="0"/>
          <w:sz w:val="21"/>
          <w:szCs w:val="21"/>
          <w:lang w:eastAsia="it-IT"/>
          <w14:ligatures w14:val="none"/>
        </w:rPr>
        <w:t>La rinnovata sperimentazione, quindi, nonostante l’entrata in vigore della </w:t>
      </w:r>
      <w:hyperlink r:id="rId11" w:tgtFrame="_blank" w:history="1">
        <w:r w:rsidRPr="00BA41D5">
          <w:rPr>
            <w:rFonts w:ascii="Arial" w:eastAsia="Times New Roman" w:hAnsi="Arial" w:cs="Arial"/>
            <w:color w:val="005EB3"/>
            <w:kern w:val="0"/>
            <w:sz w:val="21"/>
            <w:szCs w:val="21"/>
            <w:lang w:eastAsia="it-IT"/>
            <w14:ligatures w14:val="none"/>
          </w:rPr>
          <w:t>Legge 121 dell'8 agosto 2024</w:t>
        </w:r>
      </w:hyperlink>
      <w:r w:rsidRPr="00BA41D5">
        <w:rPr>
          <w:rFonts w:ascii="Arial" w:eastAsia="Times New Roman" w:hAnsi="Arial" w:cs="Arial"/>
          <w:color w:val="000000"/>
          <w:kern w:val="0"/>
          <w:sz w:val="21"/>
          <w:szCs w:val="21"/>
          <w:lang w:eastAsia="it-IT"/>
          <w14:ligatures w14:val="none"/>
        </w:rPr>
        <w:t>, – i cui contenuti </w:t>
      </w:r>
      <w:hyperlink r:id="rId12" w:tgtFrame="_blank" w:history="1">
        <w:r w:rsidRPr="00BA41D5">
          <w:rPr>
            <w:rFonts w:ascii="Arial" w:eastAsia="Times New Roman" w:hAnsi="Arial" w:cs="Arial"/>
            <w:color w:val="005EB3"/>
            <w:kern w:val="0"/>
            <w:sz w:val="21"/>
            <w:szCs w:val="21"/>
            <w:lang w:eastAsia="it-IT"/>
            <w14:ligatures w14:val="none"/>
          </w:rPr>
          <w:t>avevamo già anticipato</w:t>
        </w:r>
      </w:hyperlink>
      <w:r w:rsidRPr="00BA41D5">
        <w:rPr>
          <w:rFonts w:ascii="Arial" w:eastAsia="Times New Roman" w:hAnsi="Arial" w:cs="Arial"/>
          <w:color w:val="000000"/>
          <w:kern w:val="0"/>
          <w:sz w:val="21"/>
          <w:szCs w:val="21"/>
          <w:lang w:eastAsia="it-IT"/>
          <w14:ligatures w14:val="none"/>
        </w:rPr>
        <w:t> - </w:t>
      </w:r>
      <w:hyperlink r:id="rId13" w:tgtFrame="_blank" w:history="1">
        <w:r w:rsidRPr="00BA41D5">
          <w:rPr>
            <w:rFonts w:ascii="Arial" w:eastAsia="Times New Roman" w:hAnsi="Arial" w:cs="Arial"/>
            <w:color w:val="005EB3"/>
            <w:kern w:val="0"/>
            <w:sz w:val="21"/>
            <w:szCs w:val="21"/>
            <w:lang w:eastAsia="it-IT"/>
            <w14:ligatures w14:val="none"/>
          </w:rPr>
          <w:t>come da noi previsto</w:t>
        </w:r>
      </w:hyperlink>
      <w:r w:rsidRPr="00BA41D5">
        <w:rPr>
          <w:rFonts w:ascii="Arial" w:eastAsia="Times New Roman" w:hAnsi="Arial" w:cs="Arial"/>
          <w:color w:val="000000"/>
          <w:kern w:val="0"/>
          <w:sz w:val="21"/>
          <w:szCs w:val="21"/>
          <w:lang w:eastAsia="it-IT"/>
          <w14:ligatures w14:val="none"/>
        </w:rPr>
        <w:t> si rende necessaria nelle more:</w:t>
      </w:r>
    </w:p>
    <w:p w14:paraId="121D29BF" w14:textId="77777777" w:rsidR="00BA41D5" w:rsidRPr="00BA41D5" w:rsidRDefault="00BA41D5" w:rsidP="00BA41D5">
      <w:pPr>
        <w:numPr>
          <w:ilvl w:val="0"/>
          <w:numId w:val="4"/>
        </w:numPr>
        <w:shd w:val="clear" w:color="auto" w:fill="EFEFEF"/>
        <w:spacing w:before="100" w:beforeAutospacing="1" w:after="100" w:afterAutospacing="1" w:line="240" w:lineRule="auto"/>
        <w:rPr>
          <w:rFonts w:ascii="Arial" w:eastAsia="Times New Roman" w:hAnsi="Arial" w:cs="Arial"/>
          <w:color w:val="000000"/>
          <w:kern w:val="0"/>
          <w:sz w:val="21"/>
          <w:szCs w:val="21"/>
          <w:lang w:eastAsia="it-IT"/>
          <w14:ligatures w14:val="none"/>
        </w:rPr>
      </w:pPr>
      <w:r w:rsidRPr="00BA41D5">
        <w:rPr>
          <w:rFonts w:ascii="Arial" w:eastAsia="Times New Roman" w:hAnsi="Arial" w:cs="Arial"/>
          <w:color w:val="000000"/>
          <w:kern w:val="0"/>
          <w:sz w:val="21"/>
          <w:szCs w:val="21"/>
          <w:lang w:eastAsia="it-IT"/>
          <w14:ligatures w14:val="none"/>
        </w:rPr>
        <w:t>dell’attuazione del </w:t>
      </w:r>
      <w:r w:rsidRPr="00BA41D5">
        <w:rPr>
          <w:rFonts w:ascii="Arial" w:eastAsia="Times New Roman" w:hAnsi="Arial" w:cs="Arial"/>
          <w:b/>
          <w:bCs/>
          <w:color w:val="000000"/>
          <w:kern w:val="0"/>
          <w:sz w:val="21"/>
          <w:szCs w:val="21"/>
          <w:lang w:eastAsia="it-IT"/>
          <w14:ligatures w14:val="none"/>
        </w:rPr>
        <w:t>comma 8 dell’art. 25-bis</w:t>
      </w:r>
      <w:r w:rsidRPr="00BA41D5">
        <w:rPr>
          <w:rFonts w:ascii="Arial" w:eastAsia="Times New Roman" w:hAnsi="Arial" w:cs="Arial"/>
          <w:color w:val="000000"/>
          <w:kern w:val="0"/>
          <w:sz w:val="21"/>
          <w:szCs w:val="21"/>
          <w:lang w:eastAsia="it-IT"/>
          <w14:ligatures w14:val="none"/>
        </w:rPr>
        <w:t> </w:t>
      </w:r>
      <w:r w:rsidRPr="00BA41D5">
        <w:rPr>
          <w:rFonts w:ascii="Arial" w:eastAsia="Times New Roman" w:hAnsi="Arial" w:cs="Arial"/>
          <w:b/>
          <w:bCs/>
          <w:color w:val="000000"/>
          <w:kern w:val="0"/>
          <w:sz w:val="21"/>
          <w:szCs w:val="21"/>
          <w:lang w:eastAsia="it-IT"/>
          <w14:ligatures w14:val="none"/>
        </w:rPr>
        <w:t>del decreto-legge n. 144/2022 </w:t>
      </w:r>
      <w:r w:rsidRPr="00BA41D5">
        <w:rPr>
          <w:rFonts w:ascii="Arial" w:eastAsia="Times New Roman" w:hAnsi="Arial" w:cs="Arial"/>
          <w:color w:val="000000"/>
          <w:kern w:val="0"/>
          <w:sz w:val="21"/>
          <w:szCs w:val="21"/>
          <w:lang w:eastAsia="it-IT"/>
          <w14:ligatures w14:val="none"/>
        </w:rPr>
        <w:t>(relativo alla definizione dei criteri di adesione per la stipula degli accordi di reti regionali)</w:t>
      </w:r>
    </w:p>
    <w:p w14:paraId="03D75251" w14:textId="77777777" w:rsidR="00BA41D5" w:rsidRPr="00BA41D5" w:rsidRDefault="00BA41D5" w:rsidP="00BA41D5">
      <w:pPr>
        <w:numPr>
          <w:ilvl w:val="0"/>
          <w:numId w:val="4"/>
        </w:numPr>
        <w:shd w:val="clear" w:color="auto" w:fill="EFEFEF"/>
        <w:spacing w:before="100" w:beforeAutospacing="1" w:after="100" w:afterAutospacing="1" w:line="240" w:lineRule="auto"/>
        <w:rPr>
          <w:rFonts w:ascii="Arial" w:eastAsia="Times New Roman" w:hAnsi="Arial" w:cs="Arial"/>
          <w:color w:val="000000"/>
          <w:kern w:val="0"/>
          <w:sz w:val="21"/>
          <w:szCs w:val="21"/>
          <w:lang w:eastAsia="it-IT"/>
          <w14:ligatures w14:val="none"/>
        </w:rPr>
      </w:pPr>
      <w:r w:rsidRPr="00BA41D5">
        <w:rPr>
          <w:rFonts w:ascii="Arial" w:eastAsia="Times New Roman" w:hAnsi="Arial" w:cs="Arial"/>
          <w:color w:val="000000"/>
          <w:kern w:val="0"/>
          <w:sz w:val="21"/>
          <w:szCs w:val="21"/>
          <w:lang w:eastAsia="it-IT"/>
          <w14:ligatures w14:val="none"/>
        </w:rPr>
        <w:t>dell’attivazione di quanto previsto dal </w:t>
      </w:r>
      <w:r w:rsidRPr="00BA41D5">
        <w:rPr>
          <w:rFonts w:ascii="Arial" w:eastAsia="Times New Roman" w:hAnsi="Arial" w:cs="Arial"/>
          <w:b/>
          <w:bCs/>
          <w:color w:val="000000"/>
          <w:kern w:val="0"/>
          <w:sz w:val="21"/>
          <w:szCs w:val="21"/>
          <w:lang w:eastAsia="it-IT"/>
          <w14:ligatures w14:val="none"/>
        </w:rPr>
        <w:t>comma 4 lettera b) del medesimo art. 25 bis</w:t>
      </w:r>
      <w:r w:rsidRPr="00BA41D5">
        <w:rPr>
          <w:rFonts w:ascii="Arial" w:eastAsia="Times New Roman" w:hAnsi="Arial" w:cs="Arial"/>
          <w:color w:val="000000"/>
          <w:kern w:val="0"/>
          <w:sz w:val="21"/>
          <w:szCs w:val="21"/>
          <w:lang w:eastAsia="it-IT"/>
          <w14:ligatures w14:val="none"/>
        </w:rPr>
        <w:t> (relativo all’ istituzione di un sistema di valutazione dell’offerta formativa erogata dagli istituti regionali basato sugli esiti delle rilevazioni degli apprendimenti predisposte da </w:t>
      </w:r>
      <w:r w:rsidRPr="00BA41D5">
        <w:rPr>
          <w:rFonts w:ascii="Arial" w:eastAsia="Times New Roman" w:hAnsi="Arial" w:cs="Arial"/>
          <w:b/>
          <w:bCs/>
          <w:color w:val="000000"/>
          <w:kern w:val="0"/>
          <w:sz w:val="21"/>
          <w:szCs w:val="21"/>
          <w:lang w:eastAsia="it-IT"/>
          <w14:ligatures w14:val="none"/>
        </w:rPr>
        <w:t>INVALSI</w:t>
      </w:r>
      <w:r w:rsidRPr="00BA41D5">
        <w:rPr>
          <w:rFonts w:ascii="Arial" w:eastAsia="Times New Roman" w:hAnsi="Arial" w:cs="Arial"/>
          <w:color w:val="000000"/>
          <w:kern w:val="0"/>
          <w:sz w:val="21"/>
          <w:szCs w:val="21"/>
          <w:lang w:eastAsia="it-IT"/>
          <w14:ligatures w14:val="none"/>
        </w:rPr>
        <w:t>.</w:t>
      </w:r>
    </w:p>
    <w:p w14:paraId="767D9D4D" w14:textId="77777777" w:rsidR="00BA41D5" w:rsidRPr="00BA41D5" w:rsidRDefault="00BA41D5" w:rsidP="00BA41D5">
      <w:pPr>
        <w:shd w:val="clear" w:color="auto" w:fill="EFEFEF"/>
        <w:spacing w:after="225" w:line="240" w:lineRule="auto"/>
        <w:jc w:val="both"/>
        <w:rPr>
          <w:rFonts w:ascii="Arial" w:eastAsia="Times New Roman" w:hAnsi="Arial" w:cs="Arial"/>
          <w:color w:val="000000"/>
          <w:kern w:val="0"/>
          <w:sz w:val="21"/>
          <w:szCs w:val="21"/>
          <w:lang w:eastAsia="it-IT"/>
          <w14:ligatures w14:val="none"/>
        </w:rPr>
      </w:pPr>
      <w:r w:rsidRPr="00BA41D5">
        <w:rPr>
          <w:rFonts w:ascii="Arial" w:eastAsia="Times New Roman" w:hAnsi="Arial" w:cs="Arial"/>
          <w:color w:val="000000"/>
          <w:kern w:val="0"/>
          <w:sz w:val="21"/>
          <w:szCs w:val="21"/>
          <w:lang w:eastAsia="it-IT"/>
          <w14:ligatures w14:val="none"/>
        </w:rPr>
        <w:t>La delegazione della FLC CGIL all’interno del Consiglio Superiore della Pubblica Istruzione (CSPI) ha ribadito la </w:t>
      </w:r>
      <w:hyperlink r:id="rId14" w:tgtFrame="_blank" w:history="1">
        <w:r w:rsidRPr="00BA41D5">
          <w:rPr>
            <w:rFonts w:ascii="Arial" w:eastAsia="Times New Roman" w:hAnsi="Arial" w:cs="Arial"/>
            <w:color w:val="005EB3"/>
            <w:kern w:val="0"/>
            <w:sz w:val="21"/>
            <w:szCs w:val="21"/>
            <w:lang w:eastAsia="it-IT"/>
            <w14:ligatures w14:val="none"/>
          </w:rPr>
          <w:t>propria contrarietà</w:t>
        </w:r>
      </w:hyperlink>
      <w:r w:rsidRPr="00BA41D5">
        <w:rPr>
          <w:rFonts w:ascii="Arial" w:eastAsia="Times New Roman" w:hAnsi="Arial" w:cs="Arial"/>
          <w:color w:val="000000"/>
          <w:kern w:val="0"/>
          <w:sz w:val="21"/>
          <w:szCs w:val="21"/>
          <w:lang w:eastAsia="it-IT"/>
          <w14:ligatures w14:val="none"/>
        </w:rPr>
        <w:t> rispetto al rinnovo della sperimentazione del modello 4+2. sebbene l’organismo abbia espresso a maggioranza il parere favorevole citato nelle premesse del DM n. 256/2024.</w:t>
      </w:r>
    </w:p>
    <w:p w14:paraId="4C0895CC" w14:textId="77777777" w:rsidR="00BA41D5" w:rsidRPr="00BA41D5" w:rsidRDefault="00BA41D5" w:rsidP="00BA41D5">
      <w:pPr>
        <w:shd w:val="clear" w:color="auto" w:fill="EFEFEF"/>
        <w:spacing w:after="225" w:line="240" w:lineRule="auto"/>
        <w:jc w:val="both"/>
        <w:rPr>
          <w:rFonts w:ascii="Arial" w:eastAsia="Times New Roman" w:hAnsi="Arial" w:cs="Arial"/>
          <w:color w:val="000000"/>
          <w:kern w:val="0"/>
          <w:sz w:val="21"/>
          <w:szCs w:val="21"/>
          <w:lang w:eastAsia="it-IT"/>
          <w14:ligatures w14:val="none"/>
        </w:rPr>
      </w:pPr>
      <w:r w:rsidRPr="00BA41D5">
        <w:rPr>
          <w:rFonts w:ascii="Arial" w:eastAsia="Times New Roman" w:hAnsi="Arial" w:cs="Arial"/>
          <w:color w:val="000000"/>
          <w:kern w:val="0"/>
          <w:sz w:val="21"/>
          <w:szCs w:val="21"/>
          <w:lang w:eastAsia="it-IT"/>
          <w14:ligatures w14:val="none"/>
        </w:rPr>
        <w:t>Ricordiamo, infine, che per l’attivazione dei percorsi formativi della filiera tecnologico-professionale serve la delibera degli organi collegiali (art. 5 comma 2 del Decreto) e che, </w:t>
      </w:r>
      <w:hyperlink r:id="rId15" w:tgtFrame="_blank" w:history="1">
        <w:r w:rsidRPr="00BA41D5">
          <w:rPr>
            <w:rFonts w:ascii="Arial" w:eastAsia="Times New Roman" w:hAnsi="Arial" w:cs="Arial"/>
            <w:color w:val="005EB3"/>
            <w:kern w:val="0"/>
            <w:sz w:val="21"/>
            <w:szCs w:val="21"/>
            <w:lang w:eastAsia="it-IT"/>
            <w14:ligatures w14:val="none"/>
          </w:rPr>
          <w:t>nonostante le indebite pressioni sui collegi dei docenti</w:t>
        </w:r>
      </w:hyperlink>
      <w:r w:rsidRPr="00BA41D5">
        <w:rPr>
          <w:rFonts w:ascii="Arial" w:eastAsia="Times New Roman" w:hAnsi="Arial" w:cs="Arial"/>
          <w:color w:val="000000"/>
          <w:kern w:val="0"/>
          <w:sz w:val="21"/>
          <w:szCs w:val="21"/>
          <w:lang w:eastAsia="it-IT"/>
          <w14:ligatures w14:val="none"/>
        </w:rPr>
        <w:t> di cui abbiamo avuto notizia, mai come ora diventa dirimente il ruolo e </w:t>
      </w:r>
      <w:hyperlink r:id="rId16" w:tgtFrame="_blank" w:history="1">
        <w:r w:rsidRPr="00BA41D5">
          <w:rPr>
            <w:rFonts w:ascii="Arial" w:eastAsia="Times New Roman" w:hAnsi="Arial" w:cs="Arial"/>
            <w:color w:val="005EB3"/>
            <w:kern w:val="0"/>
            <w:sz w:val="21"/>
            <w:szCs w:val="21"/>
            <w:lang w:eastAsia="it-IT"/>
            <w14:ligatures w14:val="none"/>
          </w:rPr>
          <w:t>il protagonismo degli organi collegiali</w:t>
        </w:r>
      </w:hyperlink>
      <w:r w:rsidRPr="00BA41D5">
        <w:rPr>
          <w:rFonts w:ascii="Arial" w:eastAsia="Times New Roman" w:hAnsi="Arial" w:cs="Arial"/>
          <w:color w:val="000000"/>
          <w:kern w:val="0"/>
          <w:sz w:val="21"/>
          <w:szCs w:val="21"/>
          <w:lang w:eastAsia="it-IT"/>
          <w14:ligatures w14:val="none"/>
        </w:rPr>
        <w:t> a difesa del compito di promozione generale assegnato alla scuola dalla Costituzione poco compatibile con la diminuzione della qualità dell'offerta formativa conseguente dall'attivazione di percorsi quadriennali sperimentali e dall’adesione alla filiera formativa tecnologico-professionale di cui al DM n. 256 del 16 dicembre 2024.</w:t>
      </w:r>
    </w:p>
    <w:p w14:paraId="006792A6" w14:textId="77777777" w:rsidR="00BA41D5" w:rsidRPr="00BA41D5" w:rsidRDefault="00BA41D5" w:rsidP="00BA41D5">
      <w:pPr>
        <w:shd w:val="clear" w:color="auto" w:fill="EFEFEF"/>
        <w:spacing w:after="225" w:line="240" w:lineRule="auto"/>
        <w:jc w:val="both"/>
        <w:rPr>
          <w:rFonts w:ascii="Arial" w:eastAsia="Times New Roman" w:hAnsi="Arial" w:cs="Arial"/>
          <w:color w:val="000000"/>
          <w:kern w:val="0"/>
          <w:sz w:val="21"/>
          <w:szCs w:val="21"/>
          <w:lang w:eastAsia="it-IT"/>
          <w14:ligatures w14:val="none"/>
        </w:rPr>
      </w:pPr>
      <w:r w:rsidRPr="00BA41D5">
        <w:rPr>
          <w:rFonts w:ascii="Arial" w:eastAsia="Times New Roman" w:hAnsi="Arial" w:cs="Arial"/>
          <w:color w:val="000000"/>
          <w:kern w:val="0"/>
          <w:sz w:val="21"/>
          <w:szCs w:val="21"/>
          <w:lang w:eastAsia="it-IT"/>
          <w14:ligatures w14:val="none"/>
        </w:rPr>
        <w:t>Tale impegno diventa ancora più importante, laddove si consideri che in VII Commissione della Camera è depositata la </w:t>
      </w:r>
      <w:r w:rsidRPr="00BA41D5">
        <w:rPr>
          <w:rFonts w:ascii="Arial" w:eastAsia="Times New Roman" w:hAnsi="Arial" w:cs="Arial"/>
          <w:b/>
          <w:bCs/>
          <w:color w:val="000000"/>
          <w:kern w:val="0"/>
          <w:sz w:val="21"/>
          <w:szCs w:val="21"/>
          <w:lang w:eastAsia="it-IT"/>
          <w14:ligatures w14:val="none"/>
        </w:rPr>
        <w:t>proposta di legge A.C. 1739</w:t>
      </w:r>
      <w:r w:rsidRPr="00BA41D5">
        <w:rPr>
          <w:rFonts w:ascii="Arial" w:eastAsia="Times New Roman" w:hAnsi="Arial" w:cs="Arial"/>
          <w:color w:val="000000"/>
          <w:kern w:val="0"/>
          <w:sz w:val="21"/>
          <w:szCs w:val="21"/>
          <w:lang w:eastAsia="it-IT"/>
          <w14:ligatures w14:val="none"/>
        </w:rPr>
        <w:t> di Delega al Governo per il parziale riordino del secondo ciclo del sistema educativo di istruzione e formazione </w:t>
      </w:r>
      <w:r w:rsidRPr="00BA41D5">
        <w:rPr>
          <w:rFonts w:ascii="Arial" w:eastAsia="Times New Roman" w:hAnsi="Arial" w:cs="Arial"/>
          <w:b/>
          <w:bCs/>
          <w:color w:val="000000"/>
          <w:kern w:val="0"/>
          <w:sz w:val="21"/>
          <w:szCs w:val="21"/>
          <w:lang w:eastAsia="it-IT"/>
          <w14:ligatures w14:val="none"/>
        </w:rPr>
        <w:t>con la previsione della durata quadriennale di tutti i corsi di studio</w:t>
      </w:r>
      <w:r w:rsidRPr="00BA41D5">
        <w:rPr>
          <w:rFonts w:ascii="Arial" w:eastAsia="Times New Roman" w:hAnsi="Arial" w:cs="Arial"/>
          <w:color w:val="000000"/>
          <w:kern w:val="0"/>
          <w:sz w:val="21"/>
          <w:szCs w:val="21"/>
          <w:lang w:eastAsia="it-IT"/>
          <w14:ligatures w14:val="none"/>
        </w:rPr>
        <w:t> </w:t>
      </w:r>
      <w:r w:rsidRPr="00BA41D5">
        <w:rPr>
          <w:rFonts w:ascii="Arial" w:eastAsia="Times New Roman" w:hAnsi="Arial" w:cs="Arial"/>
          <w:b/>
          <w:bCs/>
          <w:color w:val="000000"/>
          <w:kern w:val="0"/>
          <w:sz w:val="21"/>
          <w:szCs w:val="21"/>
          <w:lang w:eastAsia="it-IT"/>
          <w14:ligatures w14:val="none"/>
        </w:rPr>
        <w:t>del secondo ciclo</w:t>
      </w:r>
      <w:r w:rsidRPr="00BA41D5">
        <w:rPr>
          <w:rFonts w:ascii="Arial" w:eastAsia="Times New Roman" w:hAnsi="Arial" w:cs="Arial"/>
          <w:color w:val="000000"/>
          <w:kern w:val="0"/>
          <w:sz w:val="21"/>
          <w:szCs w:val="21"/>
          <w:lang w:eastAsia="it-IT"/>
          <w14:ligatures w14:val="none"/>
        </w:rPr>
        <w:t>.</w:t>
      </w:r>
    </w:p>
    <w:p w14:paraId="20718E1F" w14:textId="77777777" w:rsidR="00BA41D5" w:rsidRPr="00BA41D5" w:rsidRDefault="00BA41D5" w:rsidP="00BA41D5">
      <w:pPr>
        <w:shd w:val="clear" w:color="auto" w:fill="EFEFEF"/>
        <w:spacing w:after="225" w:line="240" w:lineRule="auto"/>
        <w:jc w:val="both"/>
        <w:rPr>
          <w:rFonts w:ascii="Arial" w:eastAsia="Times New Roman" w:hAnsi="Arial" w:cs="Arial"/>
          <w:color w:val="000000"/>
          <w:kern w:val="0"/>
          <w:sz w:val="21"/>
          <w:szCs w:val="21"/>
          <w:lang w:eastAsia="it-IT"/>
          <w14:ligatures w14:val="none"/>
        </w:rPr>
      </w:pPr>
      <w:r w:rsidRPr="00BA41D5">
        <w:rPr>
          <w:rFonts w:ascii="Arial" w:eastAsia="Times New Roman" w:hAnsi="Arial" w:cs="Arial"/>
          <w:color w:val="000000"/>
          <w:kern w:val="0"/>
          <w:sz w:val="21"/>
          <w:szCs w:val="21"/>
          <w:lang w:eastAsia="it-IT"/>
          <w14:ligatures w14:val="none"/>
        </w:rPr>
        <w:t>Soltanto </w:t>
      </w:r>
      <w:hyperlink r:id="rId17" w:tgtFrame="_blank" w:history="1">
        <w:r w:rsidRPr="00BA41D5">
          <w:rPr>
            <w:rFonts w:ascii="Arial" w:eastAsia="Times New Roman" w:hAnsi="Arial" w:cs="Arial"/>
            <w:color w:val="005EB3"/>
            <w:kern w:val="0"/>
            <w:sz w:val="21"/>
            <w:szCs w:val="21"/>
            <w:lang w:eastAsia="it-IT"/>
            <w14:ligatures w14:val="none"/>
          </w:rPr>
          <w:t>con l’impegno collettivo e generale</w:t>
        </w:r>
      </w:hyperlink>
      <w:r w:rsidRPr="00BA41D5">
        <w:rPr>
          <w:rFonts w:ascii="Arial" w:eastAsia="Times New Roman" w:hAnsi="Arial" w:cs="Arial"/>
          <w:color w:val="000000"/>
          <w:kern w:val="0"/>
          <w:sz w:val="21"/>
          <w:szCs w:val="21"/>
          <w:lang w:eastAsia="it-IT"/>
          <w14:ligatures w14:val="none"/>
        </w:rPr>
        <w:t> potremo arginare il tentativo, sempre più evidente, da parte di questo Governo di destrutturazione complessiva del sistema nazionale di istruzione attraverso un processo di</w:t>
      </w:r>
    </w:p>
    <w:p w14:paraId="3F660E5C" w14:textId="77777777" w:rsidR="00BA41D5" w:rsidRPr="00BA41D5" w:rsidRDefault="00BA41D5" w:rsidP="00BA41D5">
      <w:pPr>
        <w:numPr>
          <w:ilvl w:val="0"/>
          <w:numId w:val="5"/>
        </w:numPr>
        <w:shd w:val="clear" w:color="auto" w:fill="EFEFEF"/>
        <w:spacing w:after="150" w:line="240" w:lineRule="auto"/>
        <w:ind w:left="795"/>
        <w:rPr>
          <w:rFonts w:ascii="Arial" w:eastAsia="Times New Roman" w:hAnsi="Arial" w:cs="Arial"/>
          <w:color w:val="000000"/>
          <w:kern w:val="0"/>
          <w:sz w:val="23"/>
          <w:szCs w:val="23"/>
          <w:lang w:eastAsia="it-IT"/>
          <w14:ligatures w14:val="none"/>
        </w:rPr>
      </w:pPr>
      <w:hyperlink r:id="rId18" w:tgtFrame="_blank" w:history="1">
        <w:r w:rsidRPr="00BA41D5">
          <w:rPr>
            <w:rFonts w:ascii="Arial" w:eastAsia="Times New Roman" w:hAnsi="Arial" w:cs="Arial"/>
            <w:color w:val="005EB3"/>
            <w:kern w:val="0"/>
            <w:sz w:val="23"/>
            <w:szCs w:val="23"/>
            <w:lang w:eastAsia="it-IT"/>
            <w14:ligatures w14:val="none"/>
          </w:rPr>
          <w:t>regionalizzazione e di ridimensionamento dell’autonomia scolastica</w:t>
        </w:r>
      </w:hyperlink>
      <w:r w:rsidRPr="00BA41D5">
        <w:rPr>
          <w:rFonts w:ascii="Arial" w:eastAsia="Times New Roman" w:hAnsi="Arial" w:cs="Arial"/>
          <w:color w:val="000000"/>
          <w:kern w:val="0"/>
          <w:sz w:val="23"/>
          <w:szCs w:val="23"/>
          <w:lang w:eastAsia="it-IT"/>
          <w14:ligatures w14:val="none"/>
        </w:rPr>
        <w:t>, </w:t>
      </w:r>
    </w:p>
    <w:p w14:paraId="4941B224" w14:textId="77777777" w:rsidR="00BA41D5" w:rsidRPr="00BA41D5" w:rsidRDefault="00BA41D5" w:rsidP="00BA41D5">
      <w:pPr>
        <w:numPr>
          <w:ilvl w:val="0"/>
          <w:numId w:val="5"/>
        </w:numPr>
        <w:shd w:val="clear" w:color="auto" w:fill="EFEFEF"/>
        <w:spacing w:after="150" w:line="240" w:lineRule="auto"/>
        <w:ind w:left="795"/>
        <w:rPr>
          <w:rFonts w:ascii="Arial" w:eastAsia="Times New Roman" w:hAnsi="Arial" w:cs="Arial"/>
          <w:color w:val="000000"/>
          <w:kern w:val="0"/>
          <w:sz w:val="23"/>
          <w:szCs w:val="23"/>
          <w:lang w:eastAsia="it-IT"/>
          <w14:ligatures w14:val="none"/>
        </w:rPr>
      </w:pPr>
      <w:hyperlink r:id="rId19" w:tgtFrame="_blank" w:history="1">
        <w:r w:rsidRPr="00BA41D5">
          <w:rPr>
            <w:rFonts w:ascii="Arial" w:eastAsia="Times New Roman" w:hAnsi="Arial" w:cs="Arial"/>
            <w:color w:val="005EB3"/>
            <w:kern w:val="0"/>
            <w:sz w:val="23"/>
            <w:szCs w:val="23"/>
            <w:lang w:eastAsia="it-IT"/>
            <w14:ligatures w14:val="none"/>
          </w:rPr>
          <w:t>subordinazione ai bisogni formativi del sistema imprenditoriale</w:t>
        </w:r>
      </w:hyperlink>
      <w:r w:rsidRPr="00BA41D5">
        <w:rPr>
          <w:rFonts w:ascii="Arial" w:eastAsia="Times New Roman" w:hAnsi="Arial" w:cs="Arial"/>
          <w:color w:val="000000"/>
          <w:kern w:val="0"/>
          <w:sz w:val="23"/>
          <w:szCs w:val="23"/>
          <w:lang w:eastAsia="it-IT"/>
          <w14:ligatures w14:val="none"/>
        </w:rPr>
        <w:t> declinati, per giunta, in chiave localistica,</w:t>
      </w:r>
    </w:p>
    <w:p w14:paraId="785BFD4B" w14:textId="77777777" w:rsidR="00BA41D5" w:rsidRPr="00BA41D5" w:rsidRDefault="00BA41D5" w:rsidP="00BA41D5">
      <w:pPr>
        <w:numPr>
          <w:ilvl w:val="0"/>
          <w:numId w:val="5"/>
        </w:numPr>
        <w:shd w:val="clear" w:color="auto" w:fill="EFEFEF"/>
        <w:spacing w:after="150" w:line="240" w:lineRule="auto"/>
        <w:ind w:left="795"/>
        <w:rPr>
          <w:rFonts w:ascii="Arial" w:eastAsia="Times New Roman" w:hAnsi="Arial" w:cs="Arial"/>
          <w:color w:val="000000"/>
          <w:kern w:val="0"/>
          <w:sz w:val="23"/>
          <w:szCs w:val="23"/>
          <w:lang w:eastAsia="it-IT"/>
          <w14:ligatures w14:val="none"/>
        </w:rPr>
      </w:pPr>
      <w:hyperlink r:id="rId20" w:tgtFrame="_blank" w:history="1">
        <w:r w:rsidRPr="00BA41D5">
          <w:rPr>
            <w:rFonts w:ascii="Arial" w:eastAsia="Times New Roman" w:hAnsi="Arial" w:cs="Arial"/>
            <w:color w:val="005EB3"/>
            <w:kern w:val="0"/>
            <w:sz w:val="23"/>
            <w:szCs w:val="23"/>
            <w:lang w:eastAsia="it-IT"/>
            <w14:ligatures w14:val="none"/>
          </w:rPr>
          <w:t>inserimento di enti di formazione privati nella programmazione di percorsi formativi finora di competenza esclusivamente statali,</w:t>
        </w:r>
      </w:hyperlink>
    </w:p>
    <w:p w14:paraId="7C112DDD" w14:textId="77777777" w:rsidR="00BA41D5" w:rsidRPr="00BA41D5" w:rsidRDefault="00BA41D5" w:rsidP="00BA41D5">
      <w:pPr>
        <w:numPr>
          <w:ilvl w:val="0"/>
          <w:numId w:val="5"/>
        </w:numPr>
        <w:shd w:val="clear" w:color="auto" w:fill="EFEFEF"/>
        <w:spacing w:after="150" w:line="240" w:lineRule="auto"/>
        <w:ind w:left="795"/>
        <w:rPr>
          <w:rFonts w:ascii="Arial" w:eastAsia="Times New Roman" w:hAnsi="Arial" w:cs="Arial"/>
          <w:color w:val="000000"/>
          <w:kern w:val="0"/>
          <w:sz w:val="23"/>
          <w:szCs w:val="23"/>
          <w:lang w:eastAsia="it-IT"/>
          <w14:ligatures w14:val="none"/>
        </w:rPr>
      </w:pPr>
      <w:r w:rsidRPr="00BA41D5">
        <w:rPr>
          <w:rFonts w:ascii="Arial" w:eastAsia="Times New Roman" w:hAnsi="Arial" w:cs="Arial"/>
          <w:color w:val="000000"/>
          <w:kern w:val="0"/>
          <w:sz w:val="23"/>
          <w:szCs w:val="23"/>
          <w:lang w:eastAsia="it-IT"/>
          <w14:ligatures w14:val="none"/>
        </w:rPr>
        <w:t>sperimentazione di un  percorso che lascia intravedere una </w:t>
      </w:r>
      <w:hyperlink r:id="rId21" w:tgtFrame="_blank" w:history="1">
        <w:r w:rsidRPr="00BA41D5">
          <w:rPr>
            <w:rFonts w:ascii="Arial" w:eastAsia="Times New Roman" w:hAnsi="Arial" w:cs="Arial"/>
            <w:color w:val="005EB3"/>
            <w:kern w:val="0"/>
            <w:sz w:val="23"/>
            <w:szCs w:val="23"/>
            <w:lang w:eastAsia="it-IT"/>
            <w14:ligatures w14:val="none"/>
          </w:rPr>
          <w:t>riforma sostanziale e complessiva dell’istruzione secondaria statale e regionale</w:t>
        </w:r>
      </w:hyperlink>
      <w:r w:rsidRPr="00BA41D5">
        <w:rPr>
          <w:rFonts w:ascii="Arial" w:eastAsia="Times New Roman" w:hAnsi="Arial" w:cs="Arial"/>
          <w:color w:val="000000"/>
          <w:kern w:val="0"/>
          <w:sz w:val="23"/>
          <w:szCs w:val="23"/>
          <w:lang w:eastAsia="it-IT"/>
          <w14:ligatures w14:val="none"/>
        </w:rPr>
        <w:t>, con ricadute anche sulla formazione terziaria, visto che introduce forme di accesso diretto all’ITS Accademy.</w:t>
      </w:r>
    </w:p>
    <w:p w14:paraId="3A196ECC" w14:textId="77777777" w:rsidR="00BA41D5" w:rsidRPr="00BA41D5" w:rsidRDefault="00BA41D5" w:rsidP="00BA41D5">
      <w:pPr>
        <w:shd w:val="clear" w:color="auto" w:fill="EFEFEF"/>
        <w:spacing w:after="225" w:line="240" w:lineRule="auto"/>
        <w:jc w:val="both"/>
        <w:rPr>
          <w:rFonts w:ascii="Arial" w:eastAsia="Times New Roman" w:hAnsi="Arial" w:cs="Arial"/>
          <w:color w:val="000000"/>
          <w:kern w:val="0"/>
          <w:sz w:val="21"/>
          <w:szCs w:val="21"/>
          <w:lang w:eastAsia="it-IT"/>
          <w14:ligatures w14:val="none"/>
        </w:rPr>
      </w:pPr>
      <w:r w:rsidRPr="00BA41D5">
        <w:rPr>
          <w:rFonts w:ascii="Arial" w:eastAsia="Times New Roman" w:hAnsi="Arial" w:cs="Arial"/>
          <w:color w:val="000000"/>
          <w:kern w:val="0"/>
          <w:sz w:val="21"/>
          <w:szCs w:val="21"/>
          <w:lang w:eastAsia="it-IT"/>
          <w14:ligatures w14:val="none"/>
        </w:rPr>
        <w:t>La FLC CGIL, con coerenza conferma, ancora una volta, la propria contrarietà rispetto alla sperimentazione del modello 4+2 introdotto con la filiera e preannuncia che sosterrà tutte le iniziative volte a bloccare l’iter di un percorso che, ancora una volta, verrà innanzitutto arginato dalla gran parte della comunità educante nel Paese.</w:t>
      </w:r>
    </w:p>
    <w:p w14:paraId="1936FE62" w14:textId="77777777" w:rsidR="00BA41D5" w:rsidRPr="00FB69C0" w:rsidRDefault="00BA41D5" w:rsidP="00FB69C0">
      <w:pPr>
        <w:shd w:val="clear" w:color="auto" w:fill="EFEFEF"/>
        <w:spacing w:after="225" w:line="240" w:lineRule="auto"/>
        <w:jc w:val="both"/>
        <w:rPr>
          <w:rFonts w:ascii="Arial" w:eastAsia="Times New Roman" w:hAnsi="Arial" w:cs="Arial"/>
          <w:color w:val="000000"/>
          <w:kern w:val="0"/>
          <w:sz w:val="21"/>
          <w:szCs w:val="21"/>
          <w:lang w:eastAsia="it-IT"/>
          <w14:ligatures w14:val="none"/>
        </w:rPr>
      </w:pPr>
    </w:p>
    <w:sectPr w:rsidR="00BA41D5" w:rsidRPr="00FB69C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1B4777"/>
    <w:multiLevelType w:val="multilevel"/>
    <w:tmpl w:val="C47EC80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574F3DAF"/>
    <w:multiLevelType w:val="multilevel"/>
    <w:tmpl w:val="6A689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2C72851"/>
    <w:multiLevelType w:val="multilevel"/>
    <w:tmpl w:val="ED16ED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81D7773"/>
    <w:multiLevelType w:val="multilevel"/>
    <w:tmpl w:val="7D602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7263E1D"/>
    <w:multiLevelType w:val="multilevel"/>
    <w:tmpl w:val="3CE45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17214857">
    <w:abstractNumId w:val="2"/>
  </w:num>
  <w:num w:numId="2" w16cid:durableId="1424304662">
    <w:abstractNumId w:val="4"/>
  </w:num>
  <w:num w:numId="3" w16cid:durableId="579213047">
    <w:abstractNumId w:val="1"/>
  </w:num>
  <w:num w:numId="4" w16cid:durableId="1496384814">
    <w:abstractNumId w:val="0"/>
  </w:num>
  <w:num w:numId="5" w16cid:durableId="11844376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9C0"/>
    <w:rsid w:val="000B2512"/>
    <w:rsid w:val="000D0D40"/>
    <w:rsid w:val="000D0EC2"/>
    <w:rsid w:val="008A20D6"/>
    <w:rsid w:val="00BA41D5"/>
    <w:rsid w:val="00C13D7E"/>
    <w:rsid w:val="00FB69C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D1B17"/>
  <w15:chartTrackingRefBased/>
  <w15:docId w15:val="{C0EF1673-0C3C-461A-803C-5E4AF13DB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479397">
      <w:bodyDiv w:val="1"/>
      <w:marLeft w:val="0"/>
      <w:marRight w:val="0"/>
      <w:marTop w:val="0"/>
      <w:marBottom w:val="0"/>
      <w:divBdr>
        <w:top w:val="none" w:sz="0" w:space="0" w:color="auto"/>
        <w:left w:val="none" w:sz="0" w:space="0" w:color="auto"/>
        <w:bottom w:val="none" w:sz="0" w:space="0" w:color="auto"/>
        <w:right w:val="none" w:sz="0" w:space="0" w:color="auto"/>
      </w:divBdr>
      <w:divsChild>
        <w:div w:id="629359130">
          <w:marLeft w:val="0"/>
          <w:marRight w:val="0"/>
          <w:marTop w:val="150"/>
          <w:marBottom w:val="150"/>
          <w:divBdr>
            <w:top w:val="none" w:sz="0" w:space="0" w:color="auto"/>
            <w:left w:val="none" w:sz="0" w:space="0" w:color="auto"/>
            <w:bottom w:val="single" w:sz="6" w:space="0" w:color="CCCCCC"/>
            <w:right w:val="none" w:sz="0" w:space="0" w:color="auto"/>
          </w:divBdr>
          <w:divsChild>
            <w:div w:id="453181848">
              <w:marLeft w:val="0"/>
              <w:marRight w:val="0"/>
              <w:marTop w:val="0"/>
              <w:marBottom w:val="0"/>
              <w:divBdr>
                <w:top w:val="none" w:sz="0" w:space="0" w:color="auto"/>
                <w:left w:val="none" w:sz="0" w:space="0" w:color="auto"/>
                <w:bottom w:val="none" w:sz="0" w:space="0" w:color="auto"/>
                <w:right w:val="none" w:sz="0" w:space="0" w:color="auto"/>
              </w:divBdr>
            </w:div>
          </w:divsChild>
        </w:div>
        <w:div w:id="1897858318">
          <w:marLeft w:val="0"/>
          <w:marRight w:val="0"/>
          <w:marTop w:val="0"/>
          <w:marBottom w:val="0"/>
          <w:divBdr>
            <w:top w:val="none" w:sz="0" w:space="0" w:color="auto"/>
            <w:left w:val="none" w:sz="0" w:space="0" w:color="auto"/>
            <w:bottom w:val="none" w:sz="0" w:space="0" w:color="auto"/>
            <w:right w:val="none" w:sz="0" w:space="0" w:color="auto"/>
          </w:divBdr>
          <w:divsChild>
            <w:div w:id="88090170">
              <w:marLeft w:val="75"/>
              <w:marRight w:val="150"/>
              <w:marTop w:val="45"/>
              <w:marBottom w:val="75"/>
              <w:divBdr>
                <w:top w:val="none" w:sz="0" w:space="0" w:color="auto"/>
                <w:left w:val="none" w:sz="0" w:space="0" w:color="auto"/>
                <w:bottom w:val="none" w:sz="0" w:space="0" w:color="auto"/>
                <w:right w:val="none" w:sz="0" w:space="0" w:color="auto"/>
              </w:divBdr>
            </w:div>
            <w:div w:id="318387751">
              <w:marLeft w:val="300"/>
              <w:marRight w:val="150"/>
              <w:marTop w:val="75"/>
              <w:marBottom w:val="0"/>
              <w:divBdr>
                <w:top w:val="none" w:sz="0" w:space="0" w:color="auto"/>
                <w:left w:val="none" w:sz="0" w:space="0" w:color="auto"/>
                <w:bottom w:val="none" w:sz="0" w:space="0" w:color="auto"/>
                <w:right w:val="none" w:sz="0" w:space="0" w:color="auto"/>
              </w:divBdr>
            </w:div>
            <w:div w:id="466431155">
              <w:marLeft w:val="300"/>
              <w:marRight w:val="150"/>
              <w:marTop w:val="75"/>
              <w:marBottom w:val="0"/>
              <w:divBdr>
                <w:top w:val="none" w:sz="0" w:space="0" w:color="auto"/>
                <w:left w:val="none" w:sz="0" w:space="0" w:color="auto"/>
                <w:bottom w:val="none" w:sz="0" w:space="0" w:color="auto"/>
                <w:right w:val="none" w:sz="0" w:space="0" w:color="auto"/>
              </w:divBdr>
            </w:div>
          </w:divsChild>
        </w:div>
        <w:div w:id="1784767615">
          <w:marLeft w:val="0"/>
          <w:marRight w:val="0"/>
          <w:marTop w:val="75"/>
          <w:marBottom w:val="150"/>
          <w:divBdr>
            <w:top w:val="none" w:sz="0" w:space="0" w:color="auto"/>
            <w:left w:val="none" w:sz="0" w:space="0" w:color="auto"/>
            <w:bottom w:val="none" w:sz="0" w:space="0" w:color="auto"/>
            <w:right w:val="none" w:sz="0" w:space="0" w:color="auto"/>
          </w:divBdr>
          <w:divsChild>
            <w:div w:id="1739522294">
              <w:marLeft w:val="0"/>
              <w:marRight w:val="0"/>
              <w:marTop w:val="45"/>
              <w:marBottom w:val="0"/>
              <w:divBdr>
                <w:top w:val="none" w:sz="0" w:space="0" w:color="auto"/>
                <w:left w:val="single" w:sz="48" w:space="0" w:color="FFFFFF"/>
                <w:bottom w:val="single" w:sz="48" w:space="0" w:color="FFFFFF"/>
                <w:right w:val="none" w:sz="0" w:space="0" w:color="auto"/>
              </w:divBdr>
              <w:divsChild>
                <w:div w:id="1404717334">
                  <w:marLeft w:val="0"/>
                  <w:marRight w:val="0"/>
                  <w:marTop w:val="0"/>
                  <w:marBottom w:val="0"/>
                  <w:divBdr>
                    <w:top w:val="single" w:sz="6" w:space="4" w:color="CCCCCC"/>
                    <w:left w:val="single" w:sz="6" w:space="4" w:color="CCCCCC"/>
                    <w:bottom w:val="single" w:sz="6" w:space="8" w:color="CCCCCC"/>
                    <w:right w:val="single" w:sz="6" w:space="4" w:color="CCCCCC"/>
                  </w:divBdr>
                </w:div>
              </w:divsChild>
            </w:div>
          </w:divsChild>
        </w:div>
      </w:divsChild>
    </w:div>
    <w:div w:id="1177112572">
      <w:bodyDiv w:val="1"/>
      <w:marLeft w:val="0"/>
      <w:marRight w:val="0"/>
      <w:marTop w:val="0"/>
      <w:marBottom w:val="0"/>
      <w:divBdr>
        <w:top w:val="none" w:sz="0" w:space="0" w:color="auto"/>
        <w:left w:val="none" w:sz="0" w:space="0" w:color="auto"/>
        <w:bottom w:val="none" w:sz="0" w:space="0" w:color="auto"/>
        <w:right w:val="none" w:sz="0" w:space="0" w:color="auto"/>
      </w:divBdr>
      <w:divsChild>
        <w:div w:id="67459239">
          <w:marLeft w:val="0"/>
          <w:marRight w:val="0"/>
          <w:marTop w:val="150"/>
          <w:marBottom w:val="150"/>
          <w:divBdr>
            <w:top w:val="none" w:sz="0" w:space="0" w:color="auto"/>
            <w:left w:val="none" w:sz="0" w:space="0" w:color="auto"/>
            <w:bottom w:val="single" w:sz="6" w:space="0" w:color="CCCCCC"/>
            <w:right w:val="none" w:sz="0" w:space="0" w:color="auto"/>
          </w:divBdr>
          <w:divsChild>
            <w:div w:id="961571657">
              <w:marLeft w:val="0"/>
              <w:marRight w:val="0"/>
              <w:marTop w:val="0"/>
              <w:marBottom w:val="0"/>
              <w:divBdr>
                <w:top w:val="none" w:sz="0" w:space="0" w:color="auto"/>
                <w:left w:val="none" w:sz="0" w:space="0" w:color="auto"/>
                <w:bottom w:val="none" w:sz="0" w:space="0" w:color="auto"/>
                <w:right w:val="none" w:sz="0" w:space="0" w:color="auto"/>
              </w:divBdr>
            </w:div>
          </w:divsChild>
        </w:div>
        <w:div w:id="1631207801">
          <w:marLeft w:val="0"/>
          <w:marRight w:val="0"/>
          <w:marTop w:val="0"/>
          <w:marBottom w:val="0"/>
          <w:divBdr>
            <w:top w:val="none" w:sz="0" w:space="0" w:color="auto"/>
            <w:left w:val="none" w:sz="0" w:space="0" w:color="auto"/>
            <w:bottom w:val="none" w:sz="0" w:space="0" w:color="auto"/>
            <w:right w:val="none" w:sz="0" w:space="0" w:color="auto"/>
          </w:divBdr>
          <w:divsChild>
            <w:div w:id="311444866">
              <w:marLeft w:val="75"/>
              <w:marRight w:val="150"/>
              <w:marTop w:val="45"/>
              <w:marBottom w:val="75"/>
              <w:divBdr>
                <w:top w:val="none" w:sz="0" w:space="0" w:color="auto"/>
                <w:left w:val="none" w:sz="0" w:space="0" w:color="auto"/>
                <w:bottom w:val="none" w:sz="0" w:space="0" w:color="auto"/>
                <w:right w:val="none" w:sz="0" w:space="0" w:color="auto"/>
              </w:divBdr>
            </w:div>
            <w:div w:id="475491550">
              <w:marLeft w:val="300"/>
              <w:marRight w:val="150"/>
              <w:marTop w:val="75"/>
              <w:marBottom w:val="0"/>
              <w:divBdr>
                <w:top w:val="none" w:sz="0" w:space="0" w:color="auto"/>
                <w:left w:val="none" w:sz="0" w:space="0" w:color="auto"/>
                <w:bottom w:val="none" w:sz="0" w:space="0" w:color="auto"/>
                <w:right w:val="none" w:sz="0" w:space="0" w:color="auto"/>
              </w:divBdr>
            </w:div>
            <w:div w:id="789980245">
              <w:marLeft w:val="300"/>
              <w:marRight w:val="150"/>
              <w:marTop w:val="75"/>
              <w:marBottom w:val="0"/>
              <w:divBdr>
                <w:top w:val="none" w:sz="0" w:space="0" w:color="auto"/>
                <w:left w:val="none" w:sz="0" w:space="0" w:color="auto"/>
                <w:bottom w:val="none" w:sz="0" w:space="0" w:color="auto"/>
                <w:right w:val="none" w:sz="0" w:space="0" w:color="auto"/>
              </w:divBdr>
            </w:div>
          </w:divsChild>
        </w:div>
        <w:div w:id="1472868390">
          <w:marLeft w:val="0"/>
          <w:marRight w:val="0"/>
          <w:marTop w:val="75"/>
          <w:marBottom w:val="150"/>
          <w:divBdr>
            <w:top w:val="none" w:sz="0" w:space="0" w:color="auto"/>
            <w:left w:val="none" w:sz="0" w:space="0" w:color="auto"/>
            <w:bottom w:val="none" w:sz="0" w:space="0" w:color="auto"/>
            <w:right w:val="none" w:sz="0" w:space="0" w:color="auto"/>
          </w:divBdr>
          <w:divsChild>
            <w:div w:id="1879005202">
              <w:marLeft w:val="0"/>
              <w:marRight w:val="0"/>
              <w:marTop w:val="45"/>
              <w:marBottom w:val="0"/>
              <w:divBdr>
                <w:top w:val="none" w:sz="0" w:space="0" w:color="auto"/>
                <w:left w:val="single" w:sz="48" w:space="0" w:color="FFFFFF"/>
                <w:bottom w:val="single" w:sz="48" w:space="0" w:color="FFFFFF"/>
                <w:right w:val="none" w:sz="0" w:space="0" w:color="auto"/>
              </w:divBdr>
              <w:divsChild>
                <w:div w:id="739139640">
                  <w:marLeft w:val="0"/>
                  <w:marRight w:val="0"/>
                  <w:marTop w:val="0"/>
                  <w:marBottom w:val="0"/>
                  <w:divBdr>
                    <w:top w:val="single" w:sz="6" w:space="4" w:color="CCCCCC"/>
                    <w:left w:val="single" w:sz="6" w:space="4" w:color="CCCCCC"/>
                    <w:bottom w:val="single" w:sz="6" w:space="8" w:color="CCCCCC"/>
                    <w:right w:val="single" w:sz="6" w:space="4" w:color="CCCCCC"/>
                  </w:divBdr>
                </w:div>
              </w:divsChild>
            </w:div>
          </w:divsChild>
        </w:div>
      </w:divsChild>
    </w:div>
    <w:div w:id="1339501049">
      <w:bodyDiv w:val="1"/>
      <w:marLeft w:val="0"/>
      <w:marRight w:val="0"/>
      <w:marTop w:val="0"/>
      <w:marBottom w:val="0"/>
      <w:divBdr>
        <w:top w:val="none" w:sz="0" w:space="0" w:color="auto"/>
        <w:left w:val="none" w:sz="0" w:space="0" w:color="auto"/>
        <w:bottom w:val="none" w:sz="0" w:space="0" w:color="auto"/>
        <w:right w:val="none" w:sz="0" w:space="0" w:color="auto"/>
      </w:divBdr>
      <w:divsChild>
        <w:div w:id="1758477068">
          <w:marLeft w:val="0"/>
          <w:marRight w:val="0"/>
          <w:marTop w:val="150"/>
          <w:marBottom w:val="150"/>
          <w:divBdr>
            <w:top w:val="none" w:sz="0" w:space="0" w:color="auto"/>
            <w:left w:val="none" w:sz="0" w:space="0" w:color="auto"/>
            <w:bottom w:val="single" w:sz="6" w:space="0" w:color="CCCCCC"/>
            <w:right w:val="none" w:sz="0" w:space="0" w:color="auto"/>
          </w:divBdr>
          <w:divsChild>
            <w:div w:id="995840979">
              <w:marLeft w:val="0"/>
              <w:marRight w:val="0"/>
              <w:marTop w:val="0"/>
              <w:marBottom w:val="0"/>
              <w:divBdr>
                <w:top w:val="none" w:sz="0" w:space="0" w:color="auto"/>
                <w:left w:val="none" w:sz="0" w:space="0" w:color="auto"/>
                <w:bottom w:val="none" w:sz="0" w:space="0" w:color="auto"/>
                <w:right w:val="none" w:sz="0" w:space="0" w:color="auto"/>
              </w:divBdr>
            </w:div>
          </w:divsChild>
        </w:div>
        <w:div w:id="1257056131">
          <w:marLeft w:val="0"/>
          <w:marRight w:val="0"/>
          <w:marTop w:val="75"/>
          <w:marBottom w:val="150"/>
          <w:divBdr>
            <w:top w:val="none" w:sz="0" w:space="0" w:color="auto"/>
            <w:left w:val="none" w:sz="0" w:space="0" w:color="auto"/>
            <w:bottom w:val="none" w:sz="0" w:space="0" w:color="auto"/>
            <w:right w:val="none" w:sz="0" w:space="0" w:color="auto"/>
          </w:divBdr>
        </w:div>
      </w:divsChild>
    </w:div>
    <w:div w:id="1403261575">
      <w:bodyDiv w:val="1"/>
      <w:marLeft w:val="0"/>
      <w:marRight w:val="0"/>
      <w:marTop w:val="0"/>
      <w:marBottom w:val="0"/>
      <w:divBdr>
        <w:top w:val="none" w:sz="0" w:space="0" w:color="auto"/>
        <w:left w:val="none" w:sz="0" w:space="0" w:color="auto"/>
        <w:bottom w:val="none" w:sz="0" w:space="0" w:color="auto"/>
        <w:right w:val="none" w:sz="0" w:space="0" w:color="auto"/>
      </w:divBdr>
      <w:divsChild>
        <w:div w:id="1146898015">
          <w:marLeft w:val="0"/>
          <w:marRight w:val="0"/>
          <w:marTop w:val="150"/>
          <w:marBottom w:val="150"/>
          <w:divBdr>
            <w:top w:val="none" w:sz="0" w:space="0" w:color="auto"/>
            <w:left w:val="none" w:sz="0" w:space="0" w:color="auto"/>
            <w:bottom w:val="single" w:sz="6" w:space="0" w:color="CCCCCC"/>
            <w:right w:val="none" w:sz="0" w:space="0" w:color="auto"/>
          </w:divBdr>
          <w:divsChild>
            <w:div w:id="146752425">
              <w:marLeft w:val="0"/>
              <w:marRight w:val="0"/>
              <w:marTop w:val="0"/>
              <w:marBottom w:val="0"/>
              <w:divBdr>
                <w:top w:val="none" w:sz="0" w:space="0" w:color="auto"/>
                <w:left w:val="none" w:sz="0" w:space="0" w:color="auto"/>
                <w:bottom w:val="none" w:sz="0" w:space="0" w:color="auto"/>
                <w:right w:val="none" w:sz="0" w:space="0" w:color="auto"/>
              </w:divBdr>
            </w:div>
          </w:divsChild>
        </w:div>
        <w:div w:id="1696731966">
          <w:marLeft w:val="0"/>
          <w:marRight w:val="0"/>
          <w:marTop w:val="0"/>
          <w:marBottom w:val="0"/>
          <w:divBdr>
            <w:top w:val="none" w:sz="0" w:space="0" w:color="auto"/>
            <w:left w:val="none" w:sz="0" w:space="0" w:color="auto"/>
            <w:bottom w:val="none" w:sz="0" w:space="0" w:color="auto"/>
            <w:right w:val="none" w:sz="0" w:space="0" w:color="auto"/>
          </w:divBdr>
          <w:divsChild>
            <w:div w:id="925455730">
              <w:marLeft w:val="75"/>
              <w:marRight w:val="150"/>
              <w:marTop w:val="45"/>
              <w:marBottom w:val="75"/>
              <w:divBdr>
                <w:top w:val="none" w:sz="0" w:space="0" w:color="auto"/>
                <w:left w:val="none" w:sz="0" w:space="0" w:color="auto"/>
                <w:bottom w:val="none" w:sz="0" w:space="0" w:color="auto"/>
                <w:right w:val="none" w:sz="0" w:space="0" w:color="auto"/>
              </w:divBdr>
            </w:div>
            <w:div w:id="399405974">
              <w:marLeft w:val="300"/>
              <w:marRight w:val="150"/>
              <w:marTop w:val="75"/>
              <w:marBottom w:val="0"/>
              <w:divBdr>
                <w:top w:val="none" w:sz="0" w:space="0" w:color="auto"/>
                <w:left w:val="none" w:sz="0" w:space="0" w:color="auto"/>
                <w:bottom w:val="none" w:sz="0" w:space="0" w:color="auto"/>
                <w:right w:val="none" w:sz="0" w:space="0" w:color="auto"/>
              </w:divBdr>
            </w:div>
            <w:div w:id="1997413654">
              <w:marLeft w:val="300"/>
              <w:marRight w:val="150"/>
              <w:marTop w:val="75"/>
              <w:marBottom w:val="0"/>
              <w:divBdr>
                <w:top w:val="none" w:sz="0" w:space="0" w:color="auto"/>
                <w:left w:val="none" w:sz="0" w:space="0" w:color="auto"/>
                <w:bottom w:val="none" w:sz="0" w:space="0" w:color="auto"/>
                <w:right w:val="none" w:sz="0" w:space="0" w:color="auto"/>
              </w:divBdr>
            </w:div>
          </w:divsChild>
        </w:div>
        <w:div w:id="1098329353">
          <w:marLeft w:val="0"/>
          <w:marRight w:val="0"/>
          <w:marTop w:val="75"/>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lcgil.it/leggi-normative/documenti/leggi/legge-121-dell-8-agosto-2024-istituzione-della-filiera-formativa-tecnologico-professionale.flc" TargetMode="External"/><Relationship Id="rId13" Type="http://schemas.openxmlformats.org/officeDocument/2006/relationships/hyperlink" Target="https://www.flcgil.it/scuola/filiera-tecnologico-professionale-pubblicata-in-gazzetta-la-legge-121.flc" TargetMode="External"/><Relationship Id="rId18" Type="http://schemas.openxmlformats.org/officeDocument/2006/relationships/hyperlink" Target="https://www.flcgil.it/scuola/istituzione-della-filiera-formativa-tecnologico-professionale-consegnate-alla-vii-commissione-della-camera-dei-deputati-le-memorie-con-le-valutazioni-della-flc.flc" TargetMode="External"/><Relationship Id="rId3" Type="http://schemas.openxmlformats.org/officeDocument/2006/relationships/settings" Target="settings.xml"/><Relationship Id="rId21" Type="http://schemas.openxmlformats.org/officeDocument/2006/relationships/hyperlink" Target="https://www.flcgil.it/sindacato/documenti/lettere-comunicati-e-documenti/memorie-flc-cgil-sperimentazione-filiera-tecnologico-professionale-anno-scolastico-2025-2026.flc" TargetMode="External"/><Relationship Id="rId7" Type="http://schemas.openxmlformats.org/officeDocument/2006/relationships/hyperlink" Target="https://www.flcgil.it/scuola/sperimentazione-quadriennale-della-filiera-tecnologico-professionale-l-amministrazione-diffonde-anticipazioni-e-bozze.flc" TargetMode="External"/><Relationship Id="rId12" Type="http://schemas.openxmlformats.org/officeDocument/2006/relationships/hyperlink" Target="https://www.flcgil.it/scuola/la-flc-cgil-conferma-la-contrarieta-alla-sperimentazione-della-filiera-tecnologico-professionale.flc" TargetMode="External"/><Relationship Id="rId17" Type="http://schemas.openxmlformats.org/officeDocument/2006/relationships/hyperlink" Target="https://www.flcgil.it/files/doc/20240913/bozza-delibera-cdd-filiera-tecnologico-professionale.doc" TargetMode="External"/><Relationship Id="rId2" Type="http://schemas.openxmlformats.org/officeDocument/2006/relationships/styles" Target="styles.xml"/><Relationship Id="rId16" Type="http://schemas.openxmlformats.org/officeDocument/2006/relationships/hyperlink" Target="https://www.flcgil.it/scuola/filiera-formativa-tecnologico-professionale-fatta-la-legge-ma-decide-il-collegio.flc" TargetMode="External"/><Relationship Id="rId20" Type="http://schemas.openxmlformats.org/officeDocument/2006/relationships/hyperlink" Target="https://www.flcgil.it/scuola/la-flc-cgil-conferma-la-contrarieta-alla-sperimentazione-della-filiera-tecnologico-professionale.flc" TargetMode="External"/><Relationship Id="rId1" Type="http://schemas.openxmlformats.org/officeDocument/2006/relationships/numbering" Target="numbering.xml"/><Relationship Id="rId6" Type="http://schemas.openxmlformats.org/officeDocument/2006/relationships/hyperlink" Target="https://www.flcgil.it/leggi-normative/documenti/decreti-ministeriali/decreto-ministeriale-256-del-16-dicembre-2024-attivazione-percorsi-sperimentali-filiera-formativa-tecnologico-professionale-as-2025-2026.flc" TargetMode="External"/><Relationship Id="rId11" Type="http://schemas.openxmlformats.org/officeDocument/2006/relationships/hyperlink" Target="https://www.flcgil.it/leggi-normative/documenti/leggi/legge-121-dell-8-agosto-2024-istituzione-della-filiera-formativa-tecnologico-professionale.flc" TargetMode="External"/><Relationship Id="rId5" Type="http://schemas.openxmlformats.org/officeDocument/2006/relationships/hyperlink" Target="https://www.flcgil.it/scuola/tredicesime-piu-leggere-per-i-lavoratori-della-scuola-ma-e-conseguenza-del-pacco-di-natale-dell-anno-scorso.flc" TargetMode="External"/><Relationship Id="rId15" Type="http://schemas.openxmlformats.org/officeDocument/2006/relationships/hyperlink" Target="https://www.flcgil.it/scuola/filiera-tecnologico-professionale-pressioni-indebite-sui-collegi-docenti.flc" TargetMode="External"/><Relationship Id="rId23" Type="http://schemas.openxmlformats.org/officeDocument/2006/relationships/theme" Target="theme/theme1.xml"/><Relationship Id="rId10" Type="http://schemas.openxmlformats.org/officeDocument/2006/relationships/hyperlink" Target="https://www.flcgil.it/scuola/il-ministro-valditara-forza-e-per-decreto-attiva-la-sperimentazione-della-filiera-formativa-tecnologico-professionale.flc" TargetMode="External"/><Relationship Id="rId19" Type="http://schemas.openxmlformats.org/officeDocument/2006/relationships/hyperlink" Target="https://www.flcgil.it/attualita/approvato-via-definitiva-provvedimento-istitutivo-filiera-formativa-tecnologico-professionale.flc" TargetMode="External"/><Relationship Id="rId4" Type="http://schemas.openxmlformats.org/officeDocument/2006/relationships/webSettings" Target="webSettings.xml"/><Relationship Id="rId9" Type="http://schemas.openxmlformats.org/officeDocument/2006/relationships/hyperlink" Target="https://www.flcgil.it/scuola/docenti/secondo-ciclo/filiera-tecnologico-professionale-e-liceo-del-made-in-italy-due-flop-annunciati.flc" TargetMode="External"/><Relationship Id="rId14" Type="http://schemas.openxmlformats.org/officeDocument/2006/relationships/hyperlink" Target="https://www.flcgil.it/scuola/parere-cspi-nuova-sperimentazione-quadriennale-della-filiera-tecnologico-professionale-per-l-a-s-2025-26-approvato-a-maggioranza.flc" TargetMode="External"/><Relationship Id="rId22"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2214</Words>
  <Characters>12623</Characters>
  <Application>Microsoft Office Word</Application>
  <DocSecurity>0</DocSecurity>
  <Lines>105</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FLC Cgil Imperia</dc:creator>
  <cp:keywords/>
  <dc:description/>
  <cp:lastModifiedBy>FLC Cgil Imperia</cp:lastModifiedBy>
  <cp:revision>2</cp:revision>
  <dcterms:created xsi:type="dcterms:W3CDTF">2025-01-03T09:50:00Z</dcterms:created>
  <dcterms:modified xsi:type="dcterms:W3CDTF">2025-01-04T10:14:00Z</dcterms:modified>
</cp:coreProperties>
</file>