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897BB" w14:textId="77777777" w:rsidR="00A2262B" w:rsidRPr="00A2262B" w:rsidRDefault="00A2262B" w:rsidP="00A2262B">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A2262B">
        <w:rPr>
          <w:rFonts w:ascii="Tahoma" w:eastAsia="Times New Roman" w:hAnsi="Tahoma" w:cs="Tahoma"/>
          <w:color w:val="DC3B33"/>
          <w:kern w:val="36"/>
          <w:sz w:val="45"/>
          <w:szCs w:val="45"/>
          <w:lang w:eastAsia="it-IT"/>
          <w14:ligatures w14:val="none"/>
        </w:rPr>
        <w:t>Scuola, Fracassi. Tetto stranieri Salvini: idea contro l’inclusione</w:t>
      </w:r>
    </w:p>
    <w:p w14:paraId="2231C7D0" w14:textId="77777777" w:rsidR="00A2262B" w:rsidRPr="00A2262B" w:rsidRDefault="00A2262B" w:rsidP="00A2262B">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A2262B">
        <w:rPr>
          <w:rFonts w:ascii="Arial" w:eastAsia="Times New Roman" w:hAnsi="Arial" w:cs="Arial"/>
          <w:color w:val="535353"/>
          <w:kern w:val="0"/>
          <w:sz w:val="27"/>
          <w:szCs w:val="27"/>
          <w:lang w:eastAsia="it-IT"/>
          <w14:ligatures w14:val="none"/>
        </w:rPr>
        <w:t>Comunicato stampa della Federazione Lavoratori della Conoscenza CGIL</w:t>
      </w:r>
    </w:p>
    <w:p w14:paraId="6ACB3919" w14:textId="77777777" w:rsidR="00A2262B" w:rsidRPr="00A2262B" w:rsidRDefault="00A2262B" w:rsidP="00A2262B">
      <w:pPr>
        <w:shd w:val="clear" w:color="auto" w:fill="FFFFFF"/>
        <w:spacing w:after="0" w:line="240" w:lineRule="auto"/>
        <w:rPr>
          <w:rFonts w:ascii="Arial" w:eastAsia="Times New Roman" w:hAnsi="Arial" w:cs="Arial"/>
          <w:color w:val="4D4D4D"/>
          <w:kern w:val="0"/>
          <w:sz w:val="21"/>
          <w:szCs w:val="21"/>
          <w:lang w:eastAsia="it-IT"/>
          <w14:ligatures w14:val="none"/>
        </w:rPr>
      </w:pPr>
      <w:r w:rsidRPr="00A2262B">
        <w:rPr>
          <w:rFonts w:ascii="Arial" w:eastAsia="Times New Roman" w:hAnsi="Arial" w:cs="Arial"/>
          <w:b/>
          <w:bCs/>
          <w:color w:val="4D4D4D"/>
          <w:kern w:val="0"/>
          <w:sz w:val="21"/>
          <w:szCs w:val="21"/>
          <w:lang w:eastAsia="it-IT"/>
          <w14:ligatures w14:val="none"/>
        </w:rPr>
        <w:t>28/03/2024</w:t>
      </w:r>
    </w:p>
    <w:p w14:paraId="0578866E" w14:textId="77777777" w:rsidR="00A2262B" w:rsidRDefault="00A2262B" w:rsidP="00A2262B">
      <w:pPr>
        <w:shd w:val="clear" w:color="auto" w:fill="FFFFFF"/>
        <w:spacing w:after="225" w:line="240" w:lineRule="auto"/>
        <w:jc w:val="both"/>
        <w:rPr>
          <w:rFonts w:ascii="Arial" w:eastAsia="Times New Roman" w:hAnsi="Arial" w:cs="Arial"/>
          <w:color w:val="000000"/>
          <w:kern w:val="0"/>
          <w:sz w:val="21"/>
          <w:szCs w:val="21"/>
          <w:lang w:eastAsia="it-IT"/>
          <w14:ligatures w14:val="none"/>
        </w:rPr>
      </w:pPr>
    </w:p>
    <w:p w14:paraId="522114D3" w14:textId="30F36BBA" w:rsidR="00A2262B" w:rsidRPr="00A2262B" w:rsidRDefault="00A2262B" w:rsidP="00A2262B">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A2262B">
        <w:rPr>
          <w:rFonts w:ascii="Arial" w:eastAsia="Times New Roman" w:hAnsi="Arial" w:cs="Arial"/>
          <w:color w:val="000000"/>
          <w:kern w:val="0"/>
          <w:sz w:val="21"/>
          <w:szCs w:val="21"/>
          <w:lang w:eastAsia="it-IT"/>
          <w14:ligatures w14:val="none"/>
        </w:rPr>
        <w:t xml:space="preserve">Roma, 28 marzo 2024 - Dopo la proposta del ministro Valditara di costituire classi differenziali, ecco il ministro Salvini che torna sulla questione di </w:t>
      </w:r>
      <w:proofErr w:type="spellStart"/>
      <w:r w:rsidRPr="00A2262B">
        <w:rPr>
          <w:rFonts w:ascii="Arial" w:eastAsia="Times New Roman" w:hAnsi="Arial" w:cs="Arial"/>
          <w:color w:val="000000"/>
          <w:kern w:val="0"/>
          <w:sz w:val="21"/>
          <w:szCs w:val="21"/>
          <w:lang w:eastAsia="it-IT"/>
          <w14:ligatures w14:val="none"/>
        </w:rPr>
        <w:t>gelminiana</w:t>
      </w:r>
      <w:proofErr w:type="spellEnd"/>
      <w:r w:rsidRPr="00A2262B">
        <w:rPr>
          <w:rFonts w:ascii="Arial" w:eastAsia="Times New Roman" w:hAnsi="Arial" w:cs="Arial"/>
          <w:color w:val="000000"/>
          <w:kern w:val="0"/>
          <w:sz w:val="21"/>
          <w:szCs w:val="21"/>
          <w:lang w:eastAsia="it-IT"/>
          <w14:ligatures w14:val="none"/>
        </w:rPr>
        <w:t xml:space="preserve"> memoria, riducendo addirittura dal 30 al 20% la percentuale massima di alunni migranti nelle classi.</w:t>
      </w:r>
      <w:r w:rsidRPr="00A2262B">
        <w:rPr>
          <w:rFonts w:ascii="Arial" w:eastAsia="Times New Roman" w:hAnsi="Arial" w:cs="Arial"/>
          <w:color w:val="000000"/>
          <w:kern w:val="0"/>
          <w:sz w:val="21"/>
          <w:szCs w:val="21"/>
          <w:lang w:eastAsia="it-IT"/>
          <w14:ligatures w14:val="none"/>
        </w:rPr>
        <w:br/>
      </w:r>
      <w:r w:rsidRPr="00A2262B">
        <w:rPr>
          <w:rFonts w:ascii="Arial" w:eastAsia="Times New Roman" w:hAnsi="Arial" w:cs="Arial"/>
          <w:color w:val="000000"/>
          <w:kern w:val="0"/>
          <w:sz w:val="21"/>
          <w:szCs w:val="21"/>
          <w:lang w:eastAsia="it-IT"/>
          <w14:ligatures w14:val="none"/>
        </w:rPr>
        <w:br/>
        <w:t>“Un’idea fuori dal tempo – per </w:t>
      </w:r>
      <w:r w:rsidRPr="00A2262B">
        <w:rPr>
          <w:rFonts w:ascii="Arial" w:eastAsia="Times New Roman" w:hAnsi="Arial" w:cs="Arial"/>
          <w:b/>
          <w:bCs/>
          <w:color w:val="000000"/>
          <w:kern w:val="0"/>
          <w:sz w:val="21"/>
          <w:szCs w:val="21"/>
          <w:lang w:eastAsia="it-IT"/>
          <w14:ligatures w14:val="none"/>
        </w:rPr>
        <w:t>Gianna Fracassi</w:t>
      </w:r>
      <w:r w:rsidRPr="00A2262B">
        <w:rPr>
          <w:rFonts w:ascii="Arial" w:eastAsia="Times New Roman" w:hAnsi="Arial" w:cs="Arial"/>
          <w:color w:val="000000"/>
          <w:kern w:val="0"/>
          <w:sz w:val="21"/>
          <w:szCs w:val="21"/>
          <w:lang w:eastAsia="it-IT"/>
          <w14:ligatures w14:val="none"/>
        </w:rPr>
        <w:t>, segretaria generale della FLC CGIL - un provvedimento che penalizzerebbe la provenienza da contesti migratori non tenendo minimamente in considerazione la composizione dell’attuale società e la funzione unificante della scuola. E che risulterebbe per di più inapplicabile, se non sradicando dal loro contesto di vita e di relazioni decine di migliaia di bambine e bambini, ragazze e ragazzi, che verrebbero dirottate in istituti scolastici lontani dalle loro abitazioni e dai loro compagni” .</w:t>
      </w:r>
      <w:r w:rsidRPr="00A2262B">
        <w:rPr>
          <w:rFonts w:ascii="Arial" w:eastAsia="Times New Roman" w:hAnsi="Arial" w:cs="Arial"/>
          <w:color w:val="000000"/>
          <w:kern w:val="0"/>
          <w:sz w:val="21"/>
          <w:szCs w:val="21"/>
          <w:lang w:eastAsia="it-IT"/>
          <w14:ligatures w14:val="none"/>
        </w:rPr>
        <w:br/>
      </w:r>
      <w:r w:rsidRPr="00A2262B">
        <w:rPr>
          <w:rFonts w:ascii="Arial" w:eastAsia="Times New Roman" w:hAnsi="Arial" w:cs="Arial"/>
          <w:color w:val="000000"/>
          <w:kern w:val="0"/>
          <w:sz w:val="21"/>
          <w:szCs w:val="21"/>
          <w:lang w:eastAsia="it-IT"/>
          <w14:ligatures w14:val="none"/>
        </w:rPr>
        <w:br/>
        <w:t>“Esattamente il contrario di quel che dovrebbe essere ogni processo di inclusione che, invece, richiede rispetto dell’esperienza di ciascuno, accoglienza e, per quanto riguarda la scuola, investimenti per creare ambienti educativi di apprendimento che favoriscano il benessere e la crescita di tutte e di tutti”. Sottolinea Fracassi.</w:t>
      </w:r>
      <w:r w:rsidRPr="00A2262B">
        <w:rPr>
          <w:rFonts w:ascii="Arial" w:eastAsia="Times New Roman" w:hAnsi="Arial" w:cs="Arial"/>
          <w:color w:val="000000"/>
          <w:kern w:val="0"/>
          <w:sz w:val="21"/>
          <w:szCs w:val="21"/>
          <w:lang w:eastAsia="it-IT"/>
          <w14:ligatures w14:val="none"/>
        </w:rPr>
        <w:br/>
      </w:r>
      <w:r w:rsidRPr="00A2262B">
        <w:rPr>
          <w:rFonts w:ascii="Arial" w:eastAsia="Times New Roman" w:hAnsi="Arial" w:cs="Arial"/>
          <w:color w:val="000000"/>
          <w:kern w:val="0"/>
          <w:sz w:val="21"/>
          <w:szCs w:val="21"/>
          <w:lang w:eastAsia="it-IT"/>
          <w14:ligatures w14:val="none"/>
        </w:rPr>
        <w:br/>
        <w:t>“Il ministro farebbe bene a occuparsi di ponti invece che di tetti. Nella scuola della Costituzione non c’è spazio per logiche discriminatorie”. Conclude la leader della FLC CGI</w:t>
      </w:r>
    </w:p>
    <w:p w14:paraId="2D5F3146" w14:textId="118753D8" w:rsidR="008C0CE2" w:rsidRPr="008C0CE2" w:rsidRDefault="008C0CE2" w:rsidP="008C0CE2">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8C0CE2">
        <w:rPr>
          <w:rFonts w:ascii="Tahoma" w:eastAsia="Times New Roman" w:hAnsi="Tahoma" w:cs="Tahoma"/>
          <w:color w:val="DC3B33"/>
          <w:kern w:val="36"/>
          <w:sz w:val="45"/>
          <w:szCs w:val="45"/>
          <w:lang w:eastAsia="it-IT"/>
          <w14:ligatures w14:val="none"/>
        </w:rPr>
        <w:t>DDL semplificazioni: prevista la conferma dei docenti precari sui posti di sostegno su richiesta delle famiglie</w:t>
      </w:r>
    </w:p>
    <w:p w14:paraId="37F20819" w14:textId="77777777" w:rsidR="008C0CE2" w:rsidRPr="008C0CE2" w:rsidRDefault="008C0CE2" w:rsidP="008C0CE2">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8C0CE2">
        <w:rPr>
          <w:rFonts w:ascii="Arial" w:eastAsia="Times New Roman" w:hAnsi="Arial" w:cs="Arial"/>
          <w:color w:val="535353"/>
          <w:kern w:val="0"/>
          <w:sz w:val="27"/>
          <w:szCs w:val="27"/>
          <w:lang w:eastAsia="it-IT"/>
          <w14:ligatures w14:val="none"/>
        </w:rPr>
        <w:t>Un provvedimento incostituzionale, demagogico e inadeguato. La FLC CGIL darà battaglia</w:t>
      </w:r>
    </w:p>
    <w:p w14:paraId="5B2D6D5D" w14:textId="77777777" w:rsidR="008C0CE2" w:rsidRPr="008C0CE2" w:rsidRDefault="008C0CE2" w:rsidP="008C0CE2">
      <w:pPr>
        <w:shd w:val="clear" w:color="auto" w:fill="FFFFFF"/>
        <w:spacing w:after="0" w:line="240" w:lineRule="auto"/>
        <w:rPr>
          <w:rFonts w:ascii="Arial" w:eastAsia="Times New Roman" w:hAnsi="Arial" w:cs="Arial"/>
          <w:color w:val="4D4D4D"/>
          <w:kern w:val="0"/>
          <w:sz w:val="21"/>
          <w:szCs w:val="21"/>
          <w:lang w:eastAsia="it-IT"/>
          <w14:ligatures w14:val="none"/>
        </w:rPr>
      </w:pPr>
      <w:r w:rsidRPr="008C0CE2">
        <w:rPr>
          <w:rFonts w:ascii="Arial" w:eastAsia="Times New Roman" w:hAnsi="Arial" w:cs="Arial"/>
          <w:b/>
          <w:bCs/>
          <w:color w:val="4D4D4D"/>
          <w:kern w:val="0"/>
          <w:sz w:val="21"/>
          <w:szCs w:val="21"/>
          <w:lang w:eastAsia="it-IT"/>
          <w14:ligatures w14:val="none"/>
        </w:rPr>
        <w:t>27/03/2024</w:t>
      </w:r>
    </w:p>
    <w:p w14:paraId="3B7BAC00" w14:textId="77777777" w:rsidR="008C0CE2" w:rsidRDefault="008C0CE2" w:rsidP="008C0CE2">
      <w:pPr>
        <w:shd w:val="clear" w:color="auto" w:fill="FFFFFF"/>
        <w:spacing w:after="225" w:line="240" w:lineRule="auto"/>
        <w:jc w:val="both"/>
        <w:rPr>
          <w:rFonts w:ascii="Arial" w:eastAsia="Times New Roman" w:hAnsi="Arial" w:cs="Arial"/>
          <w:color w:val="000000"/>
          <w:kern w:val="0"/>
          <w:sz w:val="21"/>
          <w:szCs w:val="21"/>
          <w:lang w:eastAsia="it-IT"/>
          <w14:ligatures w14:val="none"/>
        </w:rPr>
      </w:pPr>
    </w:p>
    <w:p w14:paraId="6D4F68E8" w14:textId="1BDAFF2A" w:rsidR="008C0CE2" w:rsidRPr="008C0CE2" w:rsidRDefault="008C0CE2" w:rsidP="008C0CE2">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8C0CE2">
        <w:rPr>
          <w:rFonts w:ascii="Arial" w:eastAsia="Times New Roman" w:hAnsi="Arial" w:cs="Arial"/>
          <w:color w:val="000000"/>
          <w:kern w:val="0"/>
          <w:sz w:val="21"/>
          <w:szCs w:val="21"/>
          <w:lang w:eastAsia="it-IT"/>
          <w14:ligatures w14:val="none"/>
        </w:rPr>
        <w:t>È stato </w:t>
      </w:r>
      <w:r w:rsidRPr="008C0CE2">
        <w:rPr>
          <w:rFonts w:ascii="Arial" w:eastAsia="Times New Roman" w:hAnsi="Arial" w:cs="Arial"/>
          <w:b/>
          <w:bCs/>
          <w:color w:val="000000"/>
          <w:kern w:val="0"/>
          <w:sz w:val="21"/>
          <w:szCs w:val="21"/>
          <w:lang w:eastAsia="it-IT"/>
          <w14:ligatures w14:val="none"/>
        </w:rPr>
        <w:t>approvato dal Consiglio dei ministri</w:t>
      </w:r>
      <w:r w:rsidRPr="008C0CE2">
        <w:rPr>
          <w:rFonts w:ascii="Arial" w:eastAsia="Times New Roman" w:hAnsi="Arial" w:cs="Arial"/>
          <w:color w:val="000000"/>
          <w:kern w:val="0"/>
          <w:sz w:val="21"/>
          <w:szCs w:val="21"/>
          <w:lang w:eastAsia="it-IT"/>
          <w14:ligatures w14:val="none"/>
        </w:rPr>
        <w:t>, il 26 Marzo 2024, il </w:t>
      </w:r>
      <w:r w:rsidRPr="008C0CE2">
        <w:rPr>
          <w:rFonts w:ascii="Arial" w:eastAsia="Times New Roman" w:hAnsi="Arial" w:cs="Arial"/>
          <w:b/>
          <w:bCs/>
          <w:color w:val="000000"/>
          <w:kern w:val="0"/>
          <w:sz w:val="21"/>
          <w:szCs w:val="21"/>
          <w:lang w:eastAsia="it-IT"/>
          <w14:ligatures w14:val="none"/>
        </w:rPr>
        <w:t>disegno di legge in materia di semplificazioni </w:t>
      </w:r>
      <w:r w:rsidRPr="008C0CE2">
        <w:rPr>
          <w:rFonts w:ascii="Arial" w:eastAsia="Times New Roman" w:hAnsi="Arial" w:cs="Arial"/>
          <w:color w:val="000000"/>
          <w:kern w:val="0"/>
          <w:sz w:val="21"/>
          <w:szCs w:val="21"/>
          <w:lang w:eastAsia="it-IT"/>
          <w14:ligatures w14:val="none"/>
        </w:rPr>
        <w:t xml:space="preserve">che contiene alcune modifiche inerenti </w:t>
      </w:r>
      <w:proofErr w:type="gramStart"/>
      <w:r w:rsidRPr="008C0CE2">
        <w:rPr>
          <w:rFonts w:ascii="Arial" w:eastAsia="Times New Roman" w:hAnsi="Arial" w:cs="Arial"/>
          <w:color w:val="000000"/>
          <w:kern w:val="0"/>
          <w:sz w:val="21"/>
          <w:szCs w:val="21"/>
          <w:lang w:eastAsia="it-IT"/>
          <w14:ligatures w14:val="none"/>
        </w:rPr>
        <w:t>la</w:t>
      </w:r>
      <w:proofErr w:type="gramEnd"/>
      <w:r w:rsidRPr="008C0CE2">
        <w:rPr>
          <w:rFonts w:ascii="Arial" w:eastAsia="Times New Roman" w:hAnsi="Arial" w:cs="Arial"/>
          <w:color w:val="000000"/>
          <w:kern w:val="0"/>
          <w:sz w:val="21"/>
          <w:szCs w:val="21"/>
          <w:lang w:eastAsia="it-IT"/>
          <w14:ligatures w14:val="none"/>
        </w:rPr>
        <w:t xml:space="preserve"> scuola. Tra tutte, l’articolo 16 </w:t>
      </w:r>
      <w:r w:rsidRPr="008C0CE2">
        <w:rPr>
          <w:rFonts w:ascii="Arial" w:eastAsia="Times New Roman" w:hAnsi="Arial" w:cs="Arial"/>
          <w:b/>
          <w:bCs/>
          <w:color w:val="000000"/>
          <w:kern w:val="0"/>
          <w:sz w:val="21"/>
          <w:szCs w:val="21"/>
          <w:lang w:eastAsia="it-IT"/>
          <w14:ligatures w14:val="none"/>
        </w:rPr>
        <w:t>introduce la possibilità di confermare i docenti precari sui posti di sostegno su richiesta delle famiglie e previo parere del dirigente scolastico</w:t>
      </w:r>
      <w:r w:rsidRPr="008C0CE2">
        <w:rPr>
          <w:rFonts w:ascii="Arial" w:eastAsia="Times New Roman" w:hAnsi="Arial" w:cs="Arial"/>
          <w:color w:val="000000"/>
          <w:kern w:val="0"/>
          <w:sz w:val="21"/>
          <w:szCs w:val="21"/>
          <w:lang w:eastAsia="it-IT"/>
          <w14:ligatures w14:val="none"/>
        </w:rPr>
        <w:t>.</w:t>
      </w:r>
    </w:p>
    <w:p w14:paraId="1A7876FB" w14:textId="77777777" w:rsidR="008C0CE2" w:rsidRPr="008C0CE2" w:rsidRDefault="008C0CE2" w:rsidP="008C0CE2">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8C0CE2">
        <w:rPr>
          <w:rFonts w:ascii="Arial" w:eastAsia="Times New Roman" w:hAnsi="Arial" w:cs="Arial"/>
          <w:color w:val="000000"/>
          <w:kern w:val="0"/>
          <w:sz w:val="21"/>
          <w:szCs w:val="21"/>
          <w:lang w:eastAsia="it-IT"/>
          <w14:ligatures w14:val="none"/>
        </w:rPr>
        <w:t>Il testo stabilisce che al docente in possesso del titolo di specializzazione per l’insegnamento agli alunni disabili può essere proposta la conferma, con precedenza assoluta rispetto al restante personale a tempo determinato, sul medesimo posto di sostegno assegnatogli nel precedente anno scolastico. </w:t>
      </w:r>
      <w:r w:rsidRPr="008C0CE2">
        <w:rPr>
          <w:rFonts w:ascii="Arial" w:eastAsia="Times New Roman" w:hAnsi="Arial" w:cs="Arial"/>
          <w:b/>
          <w:bCs/>
          <w:color w:val="000000"/>
          <w:kern w:val="0"/>
          <w:sz w:val="21"/>
          <w:szCs w:val="21"/>
          <w:lang w:eastAsia="it-IT"/>
          <w14:ligatures w14:val="none"/>
        </w:rPr>
        <w:t>Tale procedura si potrà applicare anche ai docenti privi di specializzazione</w:t>
      </w:r>
      <w:r w:rsidRPr="008C0CE2">
        <w:rPr>
          <w:rFonts w:ascii="Arial" w:eastAsia="Times New Roman" w:hAnsi="Arial" w:cs="Arial"/>
          <w:color w:val="000000"/>
          <w:kern w:val="0"/>
          <w:sz w:val="21"/>
          <w:szCs w:val="21"/>
          <w:lang w:eastAsia="it-IT"/>
          <w14:ligatures w14:val="none"/>
        </w:rPr>
        <w:t> ma inseriti nelle graduatorie di sostegno adottate in applicazione dell’articolo 4, comma 6-bis, della legge 3 maggio 1999, n. 124, avendo svolto tre annualità di insegnamento su posto di sostegno nel relativo grado o ancora ai docenti privi del titolo di specializzazione che abbiano svolto servizio su posto di sostegno in quanto individuati sulla base della migliore collocazione di fascia nelle graduatorie di cui all’articolo 1, comma 605, lettera c), della legge 27 dicembre 2006, n. 296, o nelle graduatorie di cui all’articolo 4, comma 6-bis, della legge 3 maggio 1999, n. 124.</w:t>
      </w:r>
    </w:p>
    <w:p w14:paraId="1A7947D6" w14:textId="77777777" w:rsidR="008C0CE2" w:rsidRPr="008C0CE2" w:rsidRDefault="008C0CE2" w:rsidP="008C0CE2">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8C0CE2">
        <w:rPr>
          <w:rFonts w:ascii="Arial" w:eastAsia="Times New Roman" w:hAnsi="Arial" w:cs="Arial"/>
          <w:b/>
          <w:bCs/>
          <w:color w:val="000000"/>
          <w:kern w:val="0"/>
          <w:sz w:val="21"/>
          <w:szCs w:val="21"/>
          <w:lang w:eastAsia="it-IT"/>
          <w14:ligatures w14:val="none"/>
        </w:rPr>
        <w:t>Affinché la norma diventi operativa</w:t>
      </w:r>
      <w:r w:rsidRPr="008C0CE2">
        <w:rPr>
          <w:rFonts w:ascii="Arial" w:eastAsia="Times New Roman" w:hAnsi="Arial" w:cs="Arial"/>
          <w:color w:val="000000"/>
          <w:kern w:val="0"/>
          <w:sz w:val="21"/>
          <w:szCs w:val="21"/>
          <w:lang w:eastAsia="it-IT"/>
          <w14:ligatures w14:val="none"/>
        </w:rPr>
        <w:t> sarà necessaria, </w:t>
      </w:r>
      <w:r w:rsidRPr="008C0CE2">
        <w:rPr>
          <w:rFonts w:ascii="Arial" w:eastAsia="Times New Roman" w:hAnsi="Arial" w:cs="Arial"/>
          <w:b/>
          <w:bCs/>
          <w:color w:val="000000"/>
          <w:kern w:val="0"/>
          <w:sz w:val="21"/>
          <w:szCs w:val="21"/>
          <w:lang w:eastAsia="it-IT"/>
          <w14:ligatures w14:val="none"/>
        </w:rPr>
        <w:t>dopo l'approvazione</w:t>
      </w:r>
      <w:r w:rsidRPr="008C0CE2">
        <w:rPr>
          <w:rFonts w:ascii="Arial" w:eastAsia="Times New Roman" w:hAnsi="Arial" w:cs="Arial"/>
          <w:color w:val="000000"/>
          <w:kern w:val="0"/>
          <w:sz w:val="21"/>
          <w:szCs w:val="21"/>
          <w:lang w:eastAsia="it-IT"/>
          <w14:ligatures w14:val="none"/>
        </w:rPr>
        <w:t> in sede parlamentare, la conferma attraverso un </w:t>
      </w:r>
      <w:r w:rsidRPr="008C0CE2">
        <w:rPr>
          <w:rFonts w:ascii="Arial" w:eastAsia="Times New Roman" w:hAnsi="Arial" w:cs="Arial"/>
          <w:b/>
          <w:bCs/>
          <w:color w:val="000000"/>
          <w:kern w:val="0"/>
          <w:sz w:val="21"/>
          <w:szCs w:val="21"/>
          <w:lang w:eastAsia="it-IT"/>
          <w14:ligatures w14:val="none"/>
        </w:rPr>
        <w:t>regolamento da adottarsi con specifico decreto ministeriale</w:t>
      </w:r>
      <w:r w:rsidRPr="008C0CE2">
        <w:rPr>
          <w:rFonts w:ascii="Arial" w:eastAsia="Times New Roman" w:hAnsi="Arial" w:cs="Arial"/>
          <w:color w:val="000000"/>
          <w:kern w:val="0"/>
          <w:sz w:val="21"/>
          <w:szCs w:val="21"/>
          <w:lang w:eastAsia="it-IT"/>
          <w14:ligatures w14:val="none"/>
        </w:rPr>
        <w:t>.</w:t>
      </w:r>
    </w:p>
    <w:p w14:paraId="39C5AF9D" w14:textId="77777777" w:rsidR="008C0CE2" w:rsidRPr="008C0CE2" w:rsidRDefault="008C0CE2" w:rsidP="008C0CE2">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8C0CE2">
        <w:rPr>
          <w:rFonts w:ascii="Arial" w:eastAsia="Times New Roman" w:hAnsi="Arial" w:cs="Arial"/>
          <w:b/>
          <w:bCs/>
          <w:color w:val="000000"/>
          <w:kern w:val="0"/>
          <w:sz w:val="21"/>
          <w:szCs w:val="21"/>
          <w:lang w:eastAsia="it-IT"/>
          <w14:ligatures w14:val="none"/>
        </w:rPr>
        <w:lastRenderedPageBreak/>
        <w:t>La FLC CGIL considera tale norma incostituzionale, iniqua e inefficace</w:t>
      </w:r>
      <w:r w:rsidRPr="008C0CE2">
        <w:rPr>
          <w:rFonts w:ascii="Arial" w:eastAsia="Times New Roman" w:hAnsi="Arial" w:cs="Arial"/>
          <w:color w:val="000000"/>
          <w:kern w:val="0"/>
          <w:sz w:val="21"/>
          <w:szCs w:val="21"/>
          <w:lang w:eastAsia="it-IT"/>
          <w14:ligatures w14:val="none"/>
        </w:rPr>
        <w:t>. Semplificare non significa violare la trasparenza delle procedure, limitare la libertà di insegnamento e svalutare il sistema di istruzione mercificandone la funzione educativa e didattica. La continuità si assicura con la stabilizzazione del personale, non con la proroga e la legittimazione della precarietà.</w:t>
      </w:r>
    </w:p>
    <w:p w14:paraId="6FEEEFD3" w14:textId="77777777" w:rsidR="008C0CE2" w:rsidRPr="008C0CE2" w:rsidRDefault="008C0CE2" w:rsidP="008C0CE2">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8C0CE2">
        <w:rPr>
          <w:rFonts w:ascii="Arial" w:eastAsia="Times New Roman" w:hAnsi="Arial" w:cs="Arial"/>
          <w:color w:val="000000"/>
          <w:kern w:val="0"/>
          <w:sz w:val="21"/>
          <w:szCs w:val="21"/>
          <w:lang w:eastAsia="it-IT"/>
          <w14:ligatures w14:val="none"/>
        </w:rPr>
        <w:t>La FLC CGIL ha già espresso la sua </w:t>
      </w:r>
      <w:hyperlink r:id="rId5" w:tgtFrame="_blank" w:history="1">
        <w:r w:rsidRPr="008C0CE2">
          <w:rPr>
            <w:rFonts w:ascii="Arial" w:eastAsia="Times New Roman" w:hAnsi="Arial" w:cs="Arial"/>
            <w:b/>
            <w:bCs/>
            <w:color w:val="005EB3"/>
            <w:kern w:val="0"/>
            <w:sz w:val="21"/>
            <w:szCs w:val="21"/>
            <w:u w:val="single"/>
            <w:lang w:eastAsia="it-IT"/>
            <w14:ligatures w14:val="none"/>
          </w:rPr>
          <w:t>contrarietà al provvedimento</w:t>
        </w:r>
      </w:hyperlink>
      <w:r w:rsidRPr="008C0CE2">
        <w:rPr>
          <w:rFonts w:ascii="Arial" w:eastAsia="Times New Roman" w:hAnsi="Arial" w:cs="Arial"/>
          <w:color w:val="000000"/>
          <w:kern w:val="0"/>
          <w:sz w:val="21"/>
          <w:szCs w:val="21"/>
          <w:lang w:eastAsia="it-IT"/>
          <w14:ligatures w14:val="none"/>
        </w:rPr>
        <w:t> che contrasterà attraverso le interlocuzioni con le forze politiche, ai tavoli di confronto con l’amministrazione, con la mobilitazione, senza escludere il ricorso alle vie legali qualora il provvedimento non venga radicalmente modificato nell'iter parlamentare di approvazione.</w:t>
      </w:r>
    </w:p>
    <w:p w14:paraId="6E28C090" w14:textId="77777777" w:rsidR="008C0CE2" w:rsidRPr="008C0CE2" w:rsidRDefault="008C0CE2" w:rsidP="008C0CE2">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8C0CE2">
        <w:rPr>
          <w:rFonts w:ascii="Tahoma" w:eastAsia="Times New Roman" w:hAnsi="Tahoma" w:cs="Tahoma"/>
          <w:color w:val="DC3B33"/>
          <w:kern w:val="36"/>
          <w:sz w:val="45"/>
          <w:szCs w:val="45"/>
          <w:lang w:eastAsia="it-IT"/>
          <w14:ligatures w14:val="none"/>
        </w:rPr>
        <w:t>Organico docenti 2024/2025: il MIM illustra ai sindacati il decreto per le classi in deroga e la nota di trasmissione</w:t>
      </w:r>
    </w:p>
    <w:p w14:paraId="2C70580A" w14:textId="77777777" w:rsidR="008C0CE2" w:rsidRPr="008C0CE2" w:rsidRDefault="008C0CE2" w:rsidP="008C0CE2">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8C0CE2">
        <w:rPr>
          <w:rFonts w:ascii="Arial" w:eastAsia="Times New Roman" w:hAnsi="Arial" w:cs="Arial"/>
          <w:color w:val="535353"/>
          <w:kern w:val="0"/>
          <w:sz w:val="27"/>
          <w:szCs w:val="27"/>
          <w:lang w:eastAsia="it-IT"/>
          <w14:ligatures w14:val="none"/>
        </w:rPr>
        <w:t xml:space="preserve">È ancora possibile istituire classi con parametri inferiori al DPR 81/2009 per contrastare svantaggi e dispersione. La norma strumentalmente estesa al Liceo made in </w:t>
      </w:r>
      <w:proofErr w:type="spellStart"/>
      <w:r w:rsidRPr="008C0CE2">
        <w:rPr>
          <w:rFonts w:ascii="Arial" w:eastAsia="Times New Roman" w:hAnsi="Arial" w:cs="Arial"/>
          <w:color w:val="535353"/>
          <w:kern w:val="0"/>
          <w:sz w:val="27"/>
          <w:szCs w:val="27"/>
          <w:lang w:eastAsia="it-IT"/>
          <w14:ligatures w14:val="none"/>
        </w:rPr>
        <w:t>Italy</w:t>
      </w:r>
      <w:proofErr w:type="spellEnd"/>
      <w:r w:rsidRPr="008C0CE2">
        <w:rPr>
          <w:rFonts w:ascii="Arial" w:eastAsia="Times New Roman" w:hAnsi="Arial" w:cs="Arial"/>
          <w:color w:val="535353"/>
          <w:kern w:val="0"/>
          <w:sz w:val="27"/>
          <w:szCs w:val="27"/>
          <w:lang w:eastAsia="it-IT"/>
          <w14:ligatures w14:val="none"/>
        </w:rPr>
        <w:t xml:space="preserve"> e alla filiera tecnologica-professionale per giustificare il flop delle iscrizioni. Pronti ad impugnare il provvedimento.</w:t>
      </w:r>
    </w:p>
    <w:p w14:paraId="6CEE37B2" w14:textId="77777777" w:rsidR="008C0CE2" w:rsidRPr="008C0CE2" w:rsidRDefault="008C0CE2" w:rsidP="008C0CE2">
      <w:pPr>
        <w:shd w:val="clear" w:color="auto" w:fill="FFFFFF"/>
        <w:spacing w:after="0" w:line="240" w:lineRule="auto"/>
        <w:rPr>
          <w:rFonts w:ascii="Arial" w:eastAsia="Times New Roman" w:hAnsi="Arial" w:cs="Arial"/>
          <w:color w:val="4D4D4D"/>
          <w:kern w:val="0"/>
          <w:sz w:val="21"/>
          <w:szCs w:val="21"/>
          <w:lang w:eastAsia="it-IT"/>
          <w14:ligatures w14:val="none"/>
        </w:rPr>
      </w:pPr>
      <w:r w:rsidRPr="008C0CE2">
        <w:rPr>
          <w:rFonts w:ascii="Arial" w:eastAsia="Times New Roman" w:hAnsi="Arial" w:cs="Arial"/>
          <w:b/>
          <w:bCs/>
          <w:color w:val="4D4D4D"/>
          <w:kern w:val="0"/>
          <w:sz w:val="21"/>
          <w:szCs w:val="21"/>
          <w:lang w:eastAsia="it-IT"/>
          <w14:ligatures w14:val="none"/>
        </w:rPr>
        <w:t>27/03/2024</w:t>
      </w:r>
    </w:p>
    <w:p w14:paraId="16686DC5" w14:textId="77777777" w:rsidR="008C0CE2" w:rsidRDefault="008C0CE2" w:rsidP="008C0CE2">
      <w:pPr>
        <w:shd w:val="clear" w:color="auto" w:fill="FFFFFF"/>
        <w:spacing w:after="225" w:line="240" w:lineRule="auto"/>
        <w:jc w:val="both"/>
        <w:rPr>
          <w:rFonts w:ascii="Arial" w:eastAsia="Times New Roman" w:hAnsi="Arial" w:cs="Arial"/>
          <w:color w:val="000000"/>
          <w:kern w:val="0"/>
          <w:sz w:val="21"/>
          <w:szCs w:val="21"/>
          <w:lang w:eastAsia="it-IT"/>
          <w14:ligatures w14:val="none"/>
        </w:rPr>
      </w:pPr>
    </w:p>
    <w:p w14:paraId="5A87C6AA" w14:textId="5FB0A2F5" w:rsidR="008C0CE2" w:rsidRPr="008C0CE2" w:rsidRDefault="008C0CE2" w:rsidP="008C0CE2">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8C0CE2">
        <w:rPr>
          <w:rFonts w:ascii="Arial" w:eastAsia="Times New Roman" w:hAnsi="Arial" w:cs="Arial"/>
          <w:color w:val="000000"/>
          <w:kern w:val="0"/>
          <w:sz w:val="21"/>
          <w:szCs w:val="21"/>
          <w:lang w:eastAsia="it-IT"/>
          <w14:ligatures w14:val="none"/>
        </w:rPr>
        <w:t>I sindacati firmatari del CCNL 2019/2021 sono stati convocati nel pomeriggio di martedì 26 marzo 2024 per attuare il confronto sul </w:t>
      </w:r>
      <w:r w:rsidRPr="008C0CE2">
        <w:rPr>
          <w:rFonts w:ascii="Arial" w:eastAsia="Times New Roman" w:hAnsi="Arial" w:cs="Arial"/>
          <w:b/>
          <w:bCs/>
          <w:color w:val="000000"/>
          <w:kern w:val="0"/>
          <w:sz w:val="21"/>
          <w:szCs w:val="21"/>
          <w:lang w:eastAsia="it-IT"/>
          <w14:ligatures w14:val="none"/>
        </w:rPr>
        <w:t xml:space="preserve">Decreto Interministeriale per le classi in deroga </w:t>
      </w:r>
      <w:proofErr w:type="spellStart"/>
      <w:r w:rsidRPr="008C0CE2">
        <w:rPr>
          <w:rFonts w:ascii="Arial" w:eastAsia="Times New Roman" w:hAnsi="Arial" w:cs="Arial"/>
          <w:b/>
          <w:bCs/>
          <w:color w:val="000000"/>
          <w:kern w:val="0"/>
          <w:sz w:val="21"/>
          <w:szCs w:val="21"/>
          <w:lang w:eastAsia="it-IT"/>
          <w14:ligatures w14:val="none"/>
        </w:rPr>
        <w:t>a.s.</w:t>
      </w:r>
      <w:proofErr w:type="spellEnd"/>
      <w:r w:rsidRPr="008C0CE2">
        <w:rPr>
          <w:rFonts w:ascii="Arial" w:eastAsia="Times New Roman" w:hAnsi="Arial" w:cs="Arial"/>
          <w:b/>
          <w:bCs/>
          <w:color w:val="000000"/>
          <w:kern w:val="0"/>
          <w:sz w:val="21"/>
          <w:szCs w:val="21"/>
          <w:lang w:eastAsia="it-IT"/>
          <w14:ligatures w14:val="none"/>
        </w:rPr>
        <w:t xml:space="preserve"> 2024/2025</w:t>
      </w:r>
      <w:r w:rsidRPr="008C0CE2">
        <w:rPr>
          <w:rFonts w:ascii="Arial" w:eastAsia="Times New Roman" w:hAnsi="Arial" w:cs="Arial"/>
          <w:color w:val="000000"/>
          <w:kern w:val="0"/>
          <w:sz w:val="21"/>
          <w:szCs w:val="21"/>
          <w:lang w:eastAsia="it-IT"/>
          <w14:ligatures w14:val="none"/>
        </w:rPr>
        <w:t> e sulla </w:t>
      </w:r>
      <w:r w:rsidRPr="008C0CE2">
        <w:rPr>
          <w:rFonts w:ascii="Arial" w:eastAsia="Times New Roman" w:hAnsi="Arial" w:cs="Arial"/>
          <w:b/>
          <w:bCs/>
          <w:color w:val="000000"/>
          <w:kern w:val="0"/>
          <w:sz w:val="21"/>
          <w:szCs w:val="21"/>
          <w:lang w:eastAsia="it-IT"/>
          <w14:ligatures w14:val="none"/>
        </w:rPr>
        <w:t xml:space="preserve">Nota di trasmissione organico-docenti </w:t>
      </w:r>
      <w:proofErr w:type="spellStart"/>
      <w:r w:rsidRPr="008C0CE2">
        <w:rPr>
          <w:rFonts w:ascii="Arial" w:eastAsia="Times New Roman" w:hAnsi="Arial" w:cs="Arial"/>
          <w:b/>
          <w:bCs/>
          <w:color w:val="000000"/>
          <w:kern w:val="0"/>
          <w:sz w:val="21"/>
          <w:szCs w:val="21"/>
          <w:lang w:eastAsia="it-IT"/>
          <w14:ligatures w14:val="none"/>
        </w:rPr>
        <w:t>a.s.</w:t>
      </w:r>
      <w:proofErr w:type="spellEnd"/>
      <w:r w:rsidRPr="008C0CE2">
        <w:rPr>
          <w:rFonts w:ascii="Arial" w:eastAsia="Times New Roman" w:hAnsi="Arial" w:cs="Arial"/>
          <w:b/>
          <w:bCs/>
          <w:color w:val="000000"/>
          <w:kern w:val="0"/>
          <w:sz w:val="21"/>
          <w:szCs w:val="21"/>
          <w:lang w:eastAsia="it-IT"/>
          <w14:ligatures w14:val="none"/>
        </w:rPr>
        <w:t xml:space="preserve"> 2024/2025</w:t>
      </w:r>
      <w:r w:rsidRPr="008C0CE2">
        <w:rPr>
          <w:rFonts w:ascii="Arial" w:eastAsia="Times New Roman" w:hAnsi="Arial" w:cs="Arial"/>
          <w:color w:val="000000"/>
          <w:kern w:val="0"/>
          <w:sz w:val="21"/>
          <w:szCs w:val="21"/>
          <w:lang w:eastAsia="it-IT"/>
          <w14:ligatures w14:val="none"/>
        </w:rPr>
        <w:t>.</w:t>
      </w:r>
    </w:p>
    <w:p w14:paraId="25DD5B99" w14:textId="77777777" w:rsidR="008C0CE2" w:rsidRPr="008C0CE2" w:rsidRDefault="008C0CE2" w:rsidP="008C0CE2">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8C0CE2">
        <w:rPr>
          <w:rFonts w:ascii="Arial" w:eastAsia="Times New Roman" w:hAnsi="Arial" w:cs="Arial"/>
          <w:color w:val="000000"/>
          <w:kern w:val="0"/>
          <w:sz w:val="21"/>
          <w:szCs w:val="21"/>
          <w:lang w:eastAsia="it-IT"/>
          <w14:ligatures w14:val="none"/>
        </w:rPr>
        <w:t>La riunione segue la pubblicazione del definitivo </w:t>
      </w:r>
      <w:hyperlink r:id="rId6" w:tgtFrame="_blank" w:history="1">
        <w:r w:rsidRPr="008C0CE2">
          <w:rPr>
            <w:rFonts w:ascii="Arial" w:eastAsia="Times New Roman" w:hAnsi="Arial" w:cs="Arial"/>
            <w:b/>
            <w:bCs/>
            <w:color w:val="005EB3"/>
            <w:kern w:val="0"/>
            <w:sz w:val="21"/>
            <w:szCs w:val="21"/>
            <w:lang w:eastAsia="it-IT"/>
            <w14:ligatures w14:val="none"/>
          </w:rPr>
          <w:t>Decreto Ministeriale n. 33 del 26 febbraio 2024</w:t>
        </w:r>
      </w:hyperlink>
      <w:r w:rsidRPr="008C0CE2">
        <w:rPr>
          <w:rFonts w:ascii="Arial" w:eastAsia="Times New Roman" w:hAnsi="Arial" w:cs="Arial"/>
          <w:color w:val="000000"/>
          <w:kern w:val="0"/>
          <w:sz w:val="21"/>
          <w:szCs w:val="21"/>
          <w:lang w:eastAsia="it-IT"/>
          <w14:ligatures w14:val="none"/>
        </w:rPr>
        <w:t> riguardante gli organici autorizzati per il prossimo anno e le allegate tabelle, suddivise per posti comuni e sostegno in ogni grado di scuola, tema sul quale si era svolto uno </w:t>
      </w:r>
      <w:hyperlink r:id="rId7" w:tgtFrame="_blank" w:history="1">
        <w:r w:rsidRPr="008C0CE2">
          <w:rPr>
            <w:rFonts w:ascii="Arial" w:eastAsia="Times New Roman" w:hAnsi="Arial" w:cs="Arial"/>
            <w:color w:val="005EB3"/>
            <w:kern w:val="0"/>
            <w:sz w:val="21"/>
            <w:szCs w:val="21"/>
            <w:u w:val="single"/>
            <w:lang w:eastAsia="it-IT"/>
            <w14:ligatures w14:val="none"/>
          </w:rPr>
          <w:t>specifico tavolo</w:t>
        </w:r>
      </w:hyperlink>
      <w:r w:rsidRPr="008C0CE2">
        <w:rPr>
          <w:rFonts w:ascii="Arial" w:eastAsia="Times New Roman" w:hAnsi="Arial" w:cs="Arial"/>
          <w:color w:val="000000"/>
          <w:kern w:val="0"/>
          <w:sz w:val="21"/>
          <w:szCs w:val="21"/>
          <w:lang w:eastAsia="it-IT"/>
          <w14:ligatures w14:val="none"/>
        </w:rPr>
        <w:t> il 9 gennaio scorso.  </w:t>
      </w:r>
    </w:p>
    <w:p w14:paraId="380FCF61" w14:textId="77777777" w:rsidR="008C0CE2" w:rsidRPr="008C0CE2" w:rsidRDefault="008C0CE2" w:rsidP="008C0CE2">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8C0CE2">
        <w:rPr>
          <w:rFonts w:ascii="Arial" w:eastAsia="Times New Roman" w:hAnsi="Arial" w:cs="Arial"/>
          <w:color w:val="535353"/>
          <w:kern w:val="0"/>
          <w:sz w:val="27"/>
          <w:szCs w:val="27"/>
          <w:lang w:eastAsia="it-IT"/>
          <w14:ligatures w14:val="none"/>
        </w:rPr>
        <w:t xml:space="preserve">Decreto Interministeriale per le classi in deroga </w:t>
      </w:r>
      <w:proofErr w:type="spellStart"/>
      <w:r w:rsidRPr="008C0CE2">
        <w:rPr>
          <w:rFonts w:ascii="Arial" w:eastAsia="Times New Roman" w:hAnsi="Arial" w:cs="Arial"/>
          <w:color w:val="535353"/>
          <w:kern w:val="0"/>
          <w:sz w:val="27"/>
          <w:szCs w:val="27"/>
          <w:lang w:eastAsia="it-IT"/>
          <w14:ligatures w14:val="none"/>
        </w:rPr>
        <w:t>a.s.</w:t>
      </w:r>
      <w:proofErr w:type="spellEnd"/>
      <w:r w:rsidRPr="008C0CE2">
        <w:rPr>
          <w:rFonts w:ascii="Arial" w:eastAsia="Times New Roman" w:hAnsi="Arial" w:cs="Arial"/>
          <w:color w:val="535353"/>
          <w:kern w:val="0"/>
          <w:sz w:val="27"/>
          <w:szCs w:val="27"/>
          <w:lang w:eastAsia="it-IT"/>
          <w14:ligatures w14:val="none"/>
        </w:rPr>
        <w:t xml:space="preserve"> 2024/2025</w:t>
      </w:r>
    </w:p>
    <w:p w14:paraId="51938B10" w14:textId="77777777" w:rsidR="008C0CE2" w:rsidRPr="008C0CE2" w:rsidRDefault="008C0CE2" w:rsidP="008C0CE2">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8C0CE2">
        <w:rPr>
          <w:rFonts w:ascii="Arial" w:eastAsia="Times New Roman" w:hAnsi="Arial" w:cs="Arial"/>
          <w:color w:val="000000"/>
          <w:kern w:val="0"/>
          <w:sz w:val="21"/>
          <w:szCs w:val="21"/>
          <w:lang w:eastAsia="it-IT"/>
          <w14:ligatures w14:val="none"/>
        </w:rPr>
        <w:t>Il ministero ha illustrato la bozza di decreto sulle classi in deroga, provvedimento inserito nella Legge di bilancio 2022 (legge n.234 del 30 dicembre 2021) per favorire il diritto allo studio nelle scuole caratterizzate da </w:t>
      </w:r>
      <w:r w:rsidRPr="008C0CE2">
        <w:rPr>
          <w:rFonts w:ascii="Arial" w:eastAsia="Times New Roman" w:hAnsi="Arial" w:cs="Arial"/>
          <w:b/>
          <w:bCs/>
          <w:color w:val="000000"/>
          <w:kern w:val="0"/>
          <w:sz w:val="21"/>
          <w:szCs w:val="21"/>
          <w:lang w:eastAsia="it-IT"/>
          <w14:ligatures w14:val="none"/>
        </w:rPr>
        <w:t>valori degli indici di status sociale, economico e culturale,</w:t>
      </w:r>
      <w:r w:rsidRPr="008C0CE2">
        <w:rPr>
          <w:rFonts w:ascii="Arial" w:eastAsia="Times New Roman" w:hAnsi="Arial" w:cs="Arial"/>
          <w:color w:val="000000"/>
          <w:kern w:val="0"/>
          <w:sz w:val="21"/>
          <w:szCs w:val="21"/>
          <w:lang w:eastAsia="it-IT"/>
          <w14:ligatures w14:val="none"/>
        </w:rPr>
        <w:t> di </w:t>
      </w:r>
      <w:r w:rsidRPr="008C0CE2">
        <w:rPr>
          <w:rFonts w:ascii="Arial" w:eastAsia="Times New Roman" w:hAnsi="Arial" w:cs="Arial"/>
          <w:b/>
          <w:bCs/>
          <w:color w:val="000000"/>
          <w:kern w:val="0"/>
          <w:sz w:val="21"/>
          <w:szCs w:val="21"/>
          <w:lang w:eastAsia="it-IT"/>
          <w14:ligatures w14:val="none"/>
        </w:rPr>
        <w:t>spopolamento </w:t>
      </w:r>
      <w:r w:rsidRPr="008C0CE2">
        <w:rPr>
          <w:rFonts w:ascii="Arial" w:eastAsia="Times New Roman" w:hAnsi="Arial" w:cs="Arial"/>
          <w:color w:val="000000"/>
          <w:kern w:val="0"/>
          <w:sz w:val="21"/>
          <w:szCs w:val="21"/>
          <w:lang w:eastAsia="it-IT"/>
          <w14:ligatures w14:val="none"/>
        </w:rPr>
        <w:t>e di </w:t>
      </w:r>
      <w:r w:rsidRPr="008C0CE2">
        <w:rPr>
          <w:rFonts w:ascii="Arial" w:eastAsia="Times New Roman" w:hAnsi="Arial" w:cs="Arial"/>
          <w:b/>
          <w:bCs/>
          <w:color w:val="000000"/>
          <w:kern w:val="0"/>
          <w:sz w:val="21"/>
          <w:szCs w:val="21"/>
          <w:lang w:eastAsia="it-IT"/>
          <w14:ligatures w14:val="none"/>
        </w:rPr>
        <w:t>dispersione scolastica.</w:t>
      </w:r>
      <w:r w:rsidRPr="008C0CE2">
        <w:rPr>
          <w:rFonts w:ascii="Arial" w:eastAsia="Times New Roman" w:hAnsi="Arial" w:cs="Arial"/>
          <w:color w:val="000000"/>
          <w:kern w:val="0"/>
          <w:sz w:val="21"/>
          <w:szCs w:val="21"/>
          <w:lang w:eastAsia="it-IT"/>
          <w14:ligatures w14:val="none"/>
        </w:rPr>
        <w:t> Si tratta di </w:t>
      </w:r>
      <w:r w:rsidRPr="008C0CE2">
        <w:rPr>
          <w:rFonts w:ascii="Arial" w:eastAsia="Times New Roman" w:hAnsi="Arial" w:cs="Arial"/>
          <w:b/>
          <w:bCs/>
          <w:color w:val="000000"/>
          <w:kern w:val="0"/>
          <w:sz w:val="21"/>
          <w:szCs w:val="21"/>
          <w:lang w:eastAsia="it-IT"/>
          <w14:ligatures w14:val="none"/>
        </w:rPr>
        <w:t>6.727 posti</w:t>
      </w:r>
      <w:r w:rsidRPr="008C0CE2">
        <w:rPr>
          <w:rFonts w:ascii="Arial" w:eastAsia="Times New Roman" w:hAnsi="Arial" w:cs="Arial"/>
          <w:color w:val="000000"/>
          <w:kern w:val="0"/>
          <w:sz w:val="21"/>
          <w:szCs w:val="21"/>
          <w:lang w:eastAsia="it-IT"/>
          <w14:ligatures w14:val="none"/>
        </w:rPr>
        <w:t> assegnati agli Uffici Scolastici Regionali per </w:t>
      </w:r>
      <w:r w:rsidRPr="008C0CE2">
        <w:rPr>
          <w:rFonts w:ascii="Arial" w:eastAsia="Times New Roman" w:hAnsi="Arial" w:cs="Arial"/>
          <w:b/>
          <w:bCs/>
          <w:color w:val="000000"/>
          <w:kern w:val="0"/>
          <w:sz w:val="21"/>
          <w:szCs w:val="21"/>
          <w:lang w:eastAsia="it-IT"/>
          <w14:ligatures w14:val="none"/>
        </w:rPr>
        <w:t>istituire nuove classi</w:t>
      </w:r>
      <w:r w:rsidRPr="008C0CE2">
        <w:rPr>
          <w:rFonts w:ascii="Arial" w:eastAsia="Times New Roman" w:hAnsi="Arial" w:cs="Arial"/>
          <w:color w:val="000000"/>
          <w:kern w:val="0"/>
          <w:sz w:val="21"/>
          <w:szCs w:val="21"/>
          <w:lang w:eastAsia="it-IT"/>
          <w14:ligatures w14:val="none"/>
        </w:rPr>
        <w:t> sulla base di indicatori di fragilità negli apprendimenti elaborati dall’INVALSI. </w:t>
      </w:r>
      <w:r w:rsidRPr="008C0CE2">
        <w:rPr>
          <w:rFonts w:ascii="Arial" w:eastAsia="Times New Roman" w:hAnsi="Arial" w:cs="Arial"/>
          <w:b/>
          <w:bCs/>
          <w:color w:val="000000"/>
          <w:kern w:val="0"/>
          <w:sz w:val="21"/>
          <w:szCs w:val="21"/>
          <w:lang w:eastAsia="it-IT"/>
          <w14:ligatures w14:val="none"/>
        </w:rPr>
        <w:t>Non sono dotazioni aggiuntive </w:t>
      </w:r>
      <w:r w:rsidRPr="008C0CE2">
        <w:rPr>
          <w:rFonts w:ascii="Arial" w:eastAsia="Times New Roman" w:hAnsi="Arial" w:cs="Arial"/>
          <w:color w:val="000000"/>
          <w:kern w:val="0"/>
          <w:sz w:val="21"/>
          <w:szCs w:val="21"/>
          <w:lang w:eastAsia="it-IT"/>
          <w14:ligatures w14:val="none"/>
        </w:rPr>
        <w:t>ma già computate nelle dotazioni autorizzate e nei limiti delle risorse strumentali e finanziarie disponibili.</w:t>
      </w:r>
    </w:p>
    <w:p w14:paraId="244AC1F3" w14:textId="77777777" w:rsidR="008C0CE2" w:rsidRPr="008C0CE2" w:rsidRDefault="008C0CE2" w:rsidP="008C0CE2">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8C0CE2">
        <w:rPr>
          <w:rFonts w:ascii="Arial" w:eastAsia="Times New Roman" w:hAnsi="Arial" w:cs="Arial"/>
          <w:color w:val="000000"/>
          <w:kern w:val="0"/>
          <w:sz w:val="21"/>
          <w:szCs w:val="21"/>
          <w:lang w:eastAsia="it-IT"/>
          <w14:ligatures w14:val="none"/>
        </w:rPr>
        <w:t>Al terzo anno di attuazione, i risultati di questo studio evidenziano </w:t>
      </w:r>
      <w:r w:rsidRPr="008C0CE2">
        <w:rPr>
          <w:rFonts w:ascii="Arial" w:eastAsia="Times New Roman" w:hAnsi="Arial" w:cs="Arial"/>
          <w:b/>
          <w:bCs/>
          <w:color w:val="000000"/>
          <w:kern w:val="0"/>
          <w:sz w:val="21"/>
          <w:szCs w:val="21"/>
          <w:lang w:eastAsia="it-IT"/>
          <w14:ligatures w14:val="none"/>
        </w:rPr>
        <w:t>un aumento delle carenze e degli svantaggi nella popolazione scolastica </w:t>
      </w:r>
      <w:r w:rsidRPr="008C0CE2">
        <w:rPr>
          <w:rFonts w:ascii="Arial" w:eastAsia="Times New Roman" w:hAnsi="Arial" w:cs="Arial"/>
          <w:color w:val="000000"/>
          <w:kern w:val="0"/>
          <w:sz w:val="21"/>
          <w:szCs w:val="21"/>
          <w:lang w:eastAsia="it-IT"/>
          <w14:ligatures w14:val="none"/>
        </w:rPr>
        <w:t>che non può essere arginata con misure così precarie: bisogna intervenire con maggiori investimenti in modo da </w:t>
      </w:r>
      <w:r w:rsidRPr="008C0CE2">
        <w:rPr>
          <w:rFonts w:ascii="Arial" w:eastAsia="Times New Roman" w:hAnsi="Arial" w:cs="Arial"/>
          <w:b/>
          <w:bCs/>
          <w:color w:val="000000"/>
          <w:kern w:val="0"/>
          <w:sz w:val="21"/>
          <w:szCs w:val="21"/>
          <w:lang w:eastAsia="it-IT"/>
          <w14:ligatures w14:val="none"/>
        </w:rPr>
        <w:t>rendere strutturale l’avvio delle classi,</w:t>
      </w:r>
      <w:r w:rsidRPr="008C0CE2">
        <w:rPr>
          <w:rFonts w:ascii="Arial" w:eastAsia="Times New Roman" w:hAnsi="Arial" w:cs="Arial"/>
          <w:color w:val="000000"/>
          <w:kern w:val="0"/>
          <w:sz w:val="21"/>
          <w:szCs w:val="21"/>
          <w:lang w:eastAsia="it-IT"/>
          <w14:ligatures w14:val="none"/>
        </w:rPr>
        <w:t> e il loro mantenimento per tutto il percorso di studio, con numeri ridotti a fronte dei parametri rigidi del </w:t>
      </w:r>
      <w:hyperlink r:id="rId8" w:tgtFrame="_blank" w:history="1">
        <w:r w:rsidRPr="008C0CE2">
          <w:rPr>
            <w:rFonts w:ascii="Arial" w:eastAsia="Times New Roman" w:hAnsi="Arial" w:cs="Arial"/>
            <w:color w:val="005EB3"/>
            <w:kern w:val="0"/>
            <w:sz w:val="21"/>
            <w:szCs w:val="21"/>
            <w:u w:val="single"/>
            <w:lang w:eastAsia="it-IT"/>
            <w14:ligatures w14:val="none"/>
          </w:rPr>
          <w:t>DPR 81/2009</w:t>
        </w:r>
      </w:hyperlink>
      <w:r w:rsidRPr="008C0CE2">
        <w:rPr>
          <w:rFonts w:ascii="Arial" w:eastAsia="Times New Roman" w:hAnsi="Arial" w:cs="Arial"/>
          <w:color w:val="000000"/>
          <w:kern w:val="0"/>
          <w:sz w:val="21"/>
          <w:szCs w:val="21"/>
          <w:lang w:eastAsia="it-IT"/>
          <w14:ligatures w14:val="none"/>
        </w:rPr>
        <w:t>.</w:t>
      </w:r>
    </w:p>
    <w:p w14:paraId="62FF58A6" w14:textId="77777777" w:rsidR="008C0CE2" w:rsidRPr="008C0CE2" w:rsidRDefault="008C0CE2" w:rsidP="008C0CE2">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8C0CE2">
        <w:rPr>
          <w:rFonts w:ascii="Arial" w:eastAsia="Times New Roman" w:hAnsi="Arial" w:cs="Arial"/>
          <w:color w:val="000000"/>
          <w:kern w:val="0"/>
          <w:sz w:val="21"/>
          <w:szCs w:val="21"/>
          <w:lang w:eastAsia="it-IT"/>
          <w14:ligatures w14:val="none"/>
        </w:rPr>
        <w:t>L’aspetto di </w:t>
      </w:r>
      <w:r w:rsidRPr="008C0CE2">
        <w:rPr>
          <w:rFonts w:ascii="Arial" w:eastAsia="Times New Roman" w:hAnsi="Arial" w:cs="Arial"/>
          <w:b/>
          <w:bCs/>
          <w:color w:val="000000"/>
          <w:kern w:val="0"/>
          <w:sz w:val="21"/>
          <w:szCs w:val="21"/>
          <w:lang w:eastAsia="it-IT"/>
          <w14:ligatures w14:val="none"/>
        </w:rPr>
        <w:t>maggiore criticità del decreto</w:t>
      </w:r>
      <w:r w:rsidRPr="008C0CE2">
        <w:rPr>
          <w:rFonts w:ascii="Arial" w:eastAsia="Times New Roman" w:hAnsi="Arial" w:cs="Arial"/>
          <w:color w:val="000000"/>
          <w:kern w:val="0"/>
          <w:sz w:val="21"/>
          <w:szCs w:val="21"/>
          <w:lang w:eastAsia="it-IT"/>
          <w14:ligatures w14:val="none"/>
        </w:rPr>
        <w:t> è, come abbiamo evidenziato nel confronto, quello legato al </w:t>
      </w:r>
      <w:r w:rsidRPr="008C0CE2">
        <w:rPr>
          <w:rFonts w:ascii="Arial" w:eastAsia="Times New Roman" w:hAnsi="Arial" w:cs="Arial"/>
          <w:b/>
          <w:bCs/>
          <w:color w:val="000000"/>
          <w:kern w:val="0"/>
          <w:sz w:val="21"/>
          <w:szCs w:val="21"/>
          <w:lang w:eastAsia="it-IT"/>
          <w14:ligatures w14:val="none"/>
        </w:rPr>
        <w:t>forzoso inserimento</w:t>
      </w:r>
      <w:r w:rsidRPr="008C0CE2">
        <w:rPr>
          <w:rFonts w:ascii="Arial" w:eastAsia="Times New Roman" w:hAnsi="Arial" w:cs="Arial"/>
          <w:color w:val="000000"/>
          <w:kern w:val="0"/>
          <w:sz w:val="21"/>
          <w:szCs w:val="21"/>
          <w:lang w:eastAsia="it-IT"/>
          <w14:ligatures w14:val="none"/>
        </w:rPr>
        <w:t> di un passaggio in cui si prevede di </w:t>
      </w:r>
      <w:r w:rsidRPr="008C0CE2">
        <w:rPr>
          <w:rFonts w:ascii="Arial" w:eastAsia="Times New Roman" w:hAnsi="Arial" w:cs="Arial"/>
          <w:b/>
          <w:bCs/>
          <w:color w:val="000000"/>
          <w:kern w:val="0"/>
          <w:sz w:val="21"/>
          <w:szCs w:val="21"/>
          <w:lang w:eastAsia="it-IT"/>
          <w14:ligatures w14:val="none"/>
        </w:rPr>
        <w:t>estendere </w:t>
      </w:r>
      <w:r w:rsidRPr="008C0CE2">
        <w:rPr>
          <w:rFonts w:ascii="Arial" w:eastAsia="Times New Roman" w:hAnsi="Arial" w:cs="Arial"/>
          <w:color w:val="000000"/>
          <w:kern w:val="0"/>
          <w:sz w:val="21"/>
          <w:szCs w:val="21"/>
          <w:lang w:eastAsia="it-IT"/>
          <w14:ligatures w14:val="none"/>
        </w:rPr>
        <w:t>le predette deroghe, nella scuola secondaria di secondo grado, anche per la costituzione </w:t>
      </w:r>
      <w:r w:rsidRPr="008C0CE2">
        <w:rPr>
          <w:rFonts w:ascii="Arial" w:eastAsia="Times New Roman" w:hAnsi="Arial" w:cs="Arial"/>
          <w:i/>
          <w:iCs/>
          <w:color w:val="000000"/>
          <w:kern w:val="0"/>
          <w:sz w:val="21"/>
          <w:szCs w:val="21"/>
          <w:lang w:eastAsia="it-IT"/>
          <w14:ligatures w14:val="none"/>
        </w:rPr>
        <w:t>“delle classi prime dei nuovi percorsi liceali e delle sperimentazioni dell’offerta formativa tecnologico-professionale”.</w:t>
      </w:r>
      <w:r w:rsidRPr="008C0CE2">
        <w:rPr>
          <w:rFonts w:ascii="Arial" w:eastAsia="Times New Roman" w:hAnsi="Arial" w:cs="Arial"/>
          <w:color w:val="000000"/>
          <w:kern w:val="0"/>
          <w:sz w:val="21"/>
          <w:szCs w:val="21"/>
          <w:lang w:eastAsia="it-IT"/>
          <w14:ligatures w14:val="none"/>
        </w:rPr>
        <w:t> Sotto la copertura di un riferimento normativo che nulla c’entra con l’avvio della filiera, appare come un </w:t>
      </w:r>
      <w:r w:rsidRPr="008C0CE2">
        <w:rPr>
          <w:rFonts w:ascii="Arial" w:eastAsia="Times New Roman" w:hAnsi="Arial" w:cs="Arial"/>
          <w:b/>
          <w:bCs/>
          <w:color w:val="000000"/>
          <w:kern w:val="0"/>
          <w:sz w:val="21"/>
          <w:szCs w:val="21"/>
          <w:lang w:eastAsia="it-IT"/>
          <w14:ligatures w14:val="none"/>
        </w:rPr>
        <w:t>vero e proprio colpo di mano quello di utilizzare la deroga</w:t>
      </w:r>
      <w:r w:rsidRPr="008C0CE2">
        <w:rPr>
          <w:rFonts w:ascii="Arial" w:eastAsia="Times New Roman" w:hAnsi="Arial" w:cs="Arial"/>
          <w:color w:val="000000"/>
          <w:kern w:val="0"/>
          <w:sz w:val="21"/>
          <w:szCs w:val="21"/>
          <w:lang w:eastAsia="it-IT"/>
          <w14:ligatures w14:val="none"/>
        </w:rPr>
        <w:t> e le specifiche motivazioni, come </w:t>
      </w:r>
      <w:r w:rsidRPr="008C0CE2">
        <w:rPr>
          <w:rFonts w:ascii="Arial" w:eastAsia="Times New Roman" w:hAnsi="Arial" w:cs="Arial"/>
          <w:b/>
          <w:bCs/>
          <w:color w:val="000000"/>
          <w:kern w:val="0"/>
          <w:sz w:val="21"/>
          <w:szCs w:val="21"/>
          <w:lang w:eastAsia="it-IT"/>
          <w14:ligatures w14:val="none"/>
        </w:rPr>
        <w:t>strumento correttivo al palese fallimento delle iscrizioni dei nuovi ordinamenti.</w:t>
      </w:r>
    </w:p>
    <w:p w14:paraId="78F8BC2E" w14:textId="77777777" w:rsidR="008C0CE2" w:rsidRPr="008C0CE2" w:rsidRDefault="008C0CE2" w:rsidP="008C0CE2">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8C0CE2">
        <w:rPr>
          <w:rFonts w:ascii="Arial" w:eastAsia="Times New Roman" w:hAnsi="Arial" w:cs="Arial"/>
          <w:color w:val="000000"/>
          <w:kern w:val="0"/>
          <w:sz w:val="21"/>
          <w:szCs w:val="21"/>
          <w:lang w:eastAsia="it-IT"/>
          <w14:ligatures w14:val="none"/>
        </w:rPr>
        <w:lastRenderedPageBreak/>
        <w:t>In maniera ferma e decisa abbiamo chiesto di </w:t>
      </w:r>
      <w:r w:rsidRPr="008C0CE2">
        <w:rPr>
          <w:rFonts w:ascii="Arial" w:eastAsia="Times New Roman" w:hAnsi="Arial" w:cs="Arial"/>
          <w:b/>
          <w:bCs/>
          <w:color w:val="000000"/>
          <w:kern w:val="0"/>
          <w:sz w:val="21"/>
          <w:szCs w:val="21"/>
          <w:lang w:eastAsia="it-IT"/>
          <w14:ligatures w14:val="none"/>
        </w:rPr>
        <w:t>sopprimere la formulazione di quel punto</w:t>
      </w:r>
      <w:r w:rsidRPr="008C0CE2">
        <w:rPr>
          <w:rFonts w:ascii="Arial" w:eastAsia="Times New Roman" w:hAnsi="Arial" w:cs="Arial"/>
          <w:color w:val="000000"/>
          <w:kern w:val="0"/>
          <w:sz w:val="21"/>
          <w:szCs w:val="21"/>
          <w:lang w:eastAsia="it-IT"/>
          <w14:ligatures w14:val="none"/>
        </w:rPr>
        <w:t>, lasciando integro il senso e la finalità che si prefigge il provvedimento e, qualora ciò non accadesse, daremo mandato ai legali per </w:t>
      </w:r>
      <w:r w:rsidRPr="008C0CE2">
        <w:rPr>
          <w:rFonts w:ascii="Arial" w:eastAsia="Times New Roman" w:hAnsi="Arial" w:cs="Arial"/>
          <w:b/>
          <w:bCs/>
          <w:color w:val="000000"/>
          <w:kern w:val="0"/>
          <w:sz w:val="21"/>
          <w:szCs w:val="21"/>
          <w:lang w:eastAsia="it-IT"/>
          <w14:ligatures w14:val="none"/>
        </w:rPr>
        <w:t>impugnare il decreto</w:t>
      </w:r>
      <w:r w:rsidRPr="008C0CE2">
        <w:rPr>
          <w:rFonts w:ascii="Arial" w:eastAsia="Times New Roman" w:hAnsi="Arial" w:cs="Arial"/>
          <w:color w:val="000000"/>
          <w:kern w:val="0"/>
          <w:sz w:val="21"/>
          <w:szCs w:val="21"/>
          <w:lang w:eastAsia="it-IT"/>
          <w14:ligatures w14:val="none"/>
        </w:rPr>
        <w:t> in questione. Contemporaneamente </w:t>
      </w:r>
      <w:r w:rsidRPr="008C0CE2">
        <w:rPr>
          <w:rFonts w:ascii="Arial" w:eastAsia="Times New Roman" w:hAnsi="Arial" w:cs="Arial"/>
          <w:b/>
          <w:bCs/>
          <w:color w:val="000000"/>
          <w:kern w:val="0"/>
          <w:sz w:val="21"/>
          <w:szCs w:val="21"/>
          <w:lang w:eastAsia="it-IT"/>
          <w14:ligatures w14:val="none"/>
        </w:rPr>
        <w:t>solleciteremo le forze politiche</w:t>
      </w:r>
      <w:r w:rsidRPr="008C0CE2">
        <w:rPr>
          <w:rFonts w:ascii="Arial" w:eastAsia="Times New Roman" w:hAnsi="Arial" w:cs="Arial"/>
          <w:color w:val="000000"/>
          <w:kern w:val="0"/>
          <w:sz w:val="21"/>
          <w:szCs w:val="21"/>
          <w:lang w:eastAsia="it-IT"/>
          <w14:ligatures w14:val="none"/>
        </w:rPr>
        <w:t> a chiedere conto e ragione, in sede parlamentare, di questo </w:t>
      </w:r>
      <w:r w:rsidRPr="008C0CE2">
        <w:rPr>
          <w:rFonts w:ascii="Arial" w:eastAsia="Times New Roman" w:hAnsi="Arial" w:cs="Arial"/>
          <w:b/>
          <w:bCs/>
          <w:color w:val="000000"/>
          <w:kern w:val="0"/>
          <w:sz w:val="21"/>
          <w:szCs w:val="21"/>
          <w:lang w:eastAsia="it-IT"/>
          <w14:ligatures w14:val="none"/>
        </w:rPr>
        <w:t>uso disinvolto delle risorse pubbliche.</w:t>
      </w:r>
    </w:p>
    <w:p w14:paraId="795835C8" w14:textId="77777777" w:rsidR="008C0CE2" w:rsidRPr="008C0CE2" w:rsidRDefault="008C0CE2" w:rsidP="008C0CE2">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8C0CE2">
        <w:rPr>
          <w:rFonts w:ascii="Arial" w:eastAsia="Times New Roman" w:hAnsi="Arial" w:cs="Arial"/>
          <w:color w:val="535353"/>
          <w:kern w:val="0"/>
          <w:sz w:val="27"/>
          <w:szCs w:val="27"/>
          <w:lang w:eastAsia="it-IT"/>
          <w14:ligatures w14:val="none"/>
        </w:rPr>
        <w:t xml:space="preserve">Nota di trasmissione: dotazioni organiche docenti </w:t>
      </w:r>
      <w:proofErr w:type="spellStart"/>
      <w:r w:rsidRPr="008C0CE2">
        <w:rPr>
          <w:rFonts w:ascii="Arial" w:eastAsia="Times New Roman" w:hAnsi="Arial" w:cs="Arial"/>
          <w:color w:val="535353"/>
          <w:kern w:val="0"/>
          <w:sz w:val="27"/>
          <w:szCs w:val="27"/>
          <w:lang w:eastAsia="it-IT"/>
          <w14:ligatures w14:val="none"/>
        </w:rPr>
        <w:t>a.s.</w:t>
      </w:r>
      <w:proofErr w:type="spellEnd"/>
      <w:r w:rsidRPr="008C0CE2">
        <w:rPr>
          <w:rFonts w:ascii="Arial" w:eastAsia="Times New Roman" w:hAnsi="Arial" w:cs="Arial"/>
          <w:color w:val="535353"/>
          <w:kern w:val="0"/>
          <w:sz w:val="27"/>
          <w:szCs w:val="27"/>
          <w:lang w:eastAsia="it-IT"/>
          <w14:ligatures w14:val="none"/>
        </w:rPr>
        <w:t xml:space="preserve"> 2024/2025</w:t>
      </w:r>
    </w:p>
    <w:p w14:paraId="48142A46" w14:textId="77777777" w:rsidR="008C0CE2" w:rsidRPr="008C0CE2" w:rsidRDefault="008C0CE2" w:rsidP="008C0CE2">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8C0CE2">
        <w:rPr>
          <w:rFonts w:ascii="Arial" w:eastAsia="Times New Roman" w:hAnsi="Arial" w:cs="Arial"/>
          <w:color w:val="000000"/>
          <w:kern w:val="0"/>
          <w:sz w:val="21"/>
          <w:szCs w:val="21"/>
          <w:lang w:eastAsia="it-IT"/>
          <w14:ligatures w14:val="none"/>
        </w:rPr>
        <w:t>È l’annuale circolare emanata dal ministero per disporre le </w:t>
      </w:r>
      <w:r w:rsidRPr="008C0CE2">
        <w:rPr>
          <w:rFonts w:ascii="Arial" w:eastAsia="Times New Roman" w:hAnsi="Arial" w:cs="Arial"/>
          <w:b/>
          <w:bCs/>
          <w:color w:val="000000"/>
          <w:kern w:val="0"/>
          <w:sz w:val="21"/>
          <w:szCs w:val="21"/>
          <w:lang w:eastAsia="it-IT"/>
          <w14:ligatures w14:val="none"/>
        </w:rPr>
        <w:t>istruzioni operative.</w:t>
      </w:r>
      <w:r w:rsidRPr="008C0CE2">
        <w:rPr>
          <w:rFonts w:ascii="Arial" w:eastAsia="Times New Roman" w:hAnsi="Arial" w:cs="Arial"/>
          <w:color w:val="000000"/>
          <w:kern w:val="0"/>
          <w:sz w:val="21"/>
          <w:szCs w:val="21"/>
          <w:lang w:eastAsia="it-IT"/>
          <w14:ligatures w14:val="none"/>
        </w:rPr>
        <w:t> Sostanzialmente è improntata sulla traccia delle precedenti e senza particolari integrazioni. Vengono riportate le condizioni specifiche affinché gli uffici scolastici possano agire sulla </w:t>
      </w:r>
      <w:r w:rsidRPr="008C0CE2">
        <w:rPr>
          <w:rFonts w:ascii="Arial" w:eastAsia="Times New Roman" w:hAnsi="Arial" w:cs="Arial"/>
          <w:b/>
          <w:bCs/>
          <w:color w:val="000000"/>
          <w:kern w:val="0"/>
          <w:sz w:val="21"/>
          <w:szCs w:val="21"/>
          <w:lang w:eastAsia="it-IT"/>
          <w14:ligatures w14:val="none"/>
        </w:rPr>
        <w:t>distribuzione dei contingenti</w:t>
      </w:r>
      <w:r w:rsidRPr="008C0CE2">
        <w:rPr>
          <w:rFonts w:ascii="Arial" w:eastAsia="Times New Roman" w:hAnsi="Arial" w:cs="Arial"/>
          <w:color w:val="000000"/>
          <w:kern w:val="0"/>
          <w:sz w:val="21"/>
          <w:szCs w:val="21"/>
          <w:lang w:eastAsia="it-IT"/>
          <w14:ligatures w14:val="none"/>
        </w:rPr>
        <w:t> tra i vari gradi di istruzione nel rispetto delle quote programmate, sia per quanto riguarda i posti di diritto che di “adeguamento al fatto”, anche con scelte flessibili e/o di compensazione per far fronte ad eventuali svantaggi.</w:t>
      </w:r>
    </w:p>
    <w:p w14:paraId="48A69991" w14:textId="77777777" w:rsidR="008C0CE2" w:rsidRPr="008C0CE2" w:rsidRDefault="008C0CE2" w:rsidP="008C0CE2">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8C0CE2">
        <w:rPr>
          <w:rFonts w:ascii="Arial" w:eastAsia="Times New Roman" w:hAnsi="Arial" w:cs="Arial"/>
          <w:color w:val="000000"/>
          <w:kern w:val="0"/>
          <w:sz w:val="21"/>
          <w:szCs w:val="21"/>
          <w:lang w:eastAsia="it-IT"/>
          <w14:ligatures w14:val="none"/>
        </w:rPr>
        <w:t>La costituzione dei </w:t>
      </w:r>
      <w:r w:rsidRPr="008C0CE2">
        <w:rPr>
          <w:rFonts w:ascii="Arial" w:eastAsia="Times New Roman" w:hAnsi="Arial" w:cs="Arial"/>
          <w:b/>
          <w:bCs/>
          <w:color w:val="000000"/>
          <w:kern w:val="0"/>
          <w:sz w:val="21"/>
          <w:szCs w:val="21"/>
          <w:lang w:eastAsia="it-IT"/>
          <w14:ligatures w14:val="none"/>
        </w:rPr>
        <w:t>posti di educazione motoria</w:t>
      </w:r>
      <w:r w:rsidRPr="008C0CE2">
        <w:rPr>
          <w:rFonts w:ascii="Arial" w:eastAsia="Times New Roman" w:hAnsi="Arial" w:cs="Arial"/>
          <w:color w:val="000000"/>
          <w:kern w:val="0"/>
          <w:sz w:val="21"/>
          <w:szCs w:val="21"/>
          <w:lang w:eastAsia="it-IT"/>
          <w14:ligatures w14:val="none"/>
        </w:rPr>
        <w:t> nella scuola primaria e la collocazione oraria settimanale dell’insegnamento vengono declinate in modo più dettagliato, in risposta ai dubbi dei sindacati nell’incontro di gennaio.</w:t>
      </w:r>
    </w:p>
    <w:p w14:paraId="3A5E3D39" w14:textId="77777777" w:rsidR="008C0CE2" w:rsidRPr="008C0CE2" w:rsidRDefault="008C0CE2" w:rsidP="008C0CE2">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8C0CE2">
        <w:rPr>
          <w:rFonts w:ascii="Arial" w:eastAsia="Times New Roman" w:hAnsi="Arial" w:cs="Arial"/>
          <w:color w:val="000000"/>
          <w:kern w:val="0"/>
          <w:sz w:val="21"/>
          <w:szCs w:val="21"/>
          <w:lang w:eastAsia="it-IT"/>
          <w14:ligatures w14:val="none"/>
        </w:rPr>
        <w:t>Come FLC CGIL abbiamo proposto che quanto riportato nella nota, ovvero che gli spezzoni riconducibili a posti interi di educazione motoria rientrano nella dotazione organica di diritto, abbia un </w:t>
      </w:r>
      <w:r w:rsidRPr="008C0CE2">
        <w:rPr>
          <w:rFonts w:ascii="Arial" w:eastAsia="Times New Roman" w:hAnsi="Arial" w:cs="Arial"/>
          <w:b/>
          <w:bCs/>
          <w:color w:val="000000"/>
          <w:kern w:val="0"/>
          <w:sz w:val="21"/>
          <w:szCs w:val="21"/>
          <w:lang w:eastAsia="it-IT"/>
          <w14:ligatures w14:val="none"/>
        </w:rPr>
        <w:t>coerente riscontro nella circolare delle supplenze</w:t>
      </w:r>
      <w:r w:rsidRPr="008C0CE2">
        <w:rPr>
          <w:rFonts w:ascii="Arial" w:eastAsia="Times New Roman" w:hAnsi="Arial" w:cs="Arial"/>
          <w:color w:val="000000"/>
          <w:kern w:val="0"/>
          <w:sz w:val="21"/>
          <w:szCs w:val="21"/>
          <w:lang w:eastAsia="it-IT"/>
          <w14:ligatures w14:val="none"/>
        </w:rPr>
        <w:t> prevedendo la durata dei contratti stipulati con il personale </w:t>
      </w:r>
      <w:r w:rsidRPr="008C0CE2">
        <w:rPr>
          <w:rFonts w:ascii="Arial" w:eastAsia="Times New Roman" w:hAnsi="Arial" w:cs="Arial"/>
          <w:b/>
          <w:bCs/>
          <w:color w:val="000000"/>
          <w:kern w:val="0"/>
          <w:sz w:val="21"/>
          <w:szCs w:val="21"/>
          <w:lang w:eastAsia="it-IT"/>
          <w14:ligatures w14:val="none"/>
        </w:rPr>
        <w:t>supplente fino al 31/08.  </w:t>
      </w:r>
    </w:p>
    <w:p w14:paraId="4C5F7C9D" w14:textId="77777777" w:rsidR="008C0CE2" w:rsidRPr="008C0CE2" w:rsidRDefault="008C0CE2" w:rsidP="008C0CE2">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8C0CE2">
        <w:rPr>
          <w:rFonts w:ascii="Arial" w:eastAsia="Times New Roman" w:hAnsi="Arial" w:cs="Arial"/>
          <w:color w:val="000000"/>
          <w:kern w:val="0"/>
          <w:sz w:val="21"/>
          <w:szCs w:val="21"/>
          <w:lang w:eastAsia="it-IT"/>
          <w14:ligatures w14:val="none"/>
        </w:rPr>
        <w:t>Di nuovo abbiamo rivendicato lo </w:t>
      </w:r>
      <w:r w:rsidRPr="008C0CE2">
        <w:rPr>
          <w:rFonts w:ascii="Arial" w:eastAsia="Times New Roman" w:hAnsi="Arial" w:cs="Arial"/>
          <w:b/>
          <w:bCs/>
          <w:color w:val="000000"/>
          <w:kern w:val="0"/>
          <w:sz w:val="21"/>
          <w:szCs w:val="21"/>
          <w:lang w:eastAsia="it-IT"/>
          <w14:ligatures w14:val="none"/>
        </w:rPr>
        <w:t>stralcio del passaggio sulle classi in deroga per le classi prime dei percorsi liceali e di filiera</w:t>
      </w:r>
      <w:r w:rsidRPr="008C0CE2">
        <w:rPr>
          <w:rFonts w:ascii="Arial" w:eastAsia="Times New Roman" w:hAnsi="Arial" w:cs="Arial"/>
          <w:color w:val="000000"/>
          <w:kern w:val="0"/>
          <w:sz w:val="21"/>
          <w:szCs w:val="21"/>
          <w:lang w:eastAsia="it-IT"/>
          <w14:ligatures w14:val="none"/>
        </w:rPr>
        <w:t>, perché nulla si dice sui numeri minimi di iscritti per attuarle, lasciando indefinita la facoltà di procedere a scapito del probabile </w:t>
      </w:r>
      <w:r w:rsidRPr="008C0CE2">
        <w:rPr>
          <w:rFonts w:ascii="Arial" w:eastAsia="Times New Roman" w:hAnsi="Arial" w:cs="Arial"/>
          <w:b/>
          <w:bCs/>
          <w:color w:val="000000"/>
          <w:kern w:val="0"/>
          <w:sz w:val="21"/>
          <w:szCs w:val="21"/>
          <w:lang w:eastAsia="it-IT"/>
          <w14:ligatures w14:val="none"/>
        </w:rPr>
        <w:t>sovraffollamento negli altri percorsi.</w:t>
      </w:r>
    </w:p>
    <w:p w14:paraId="063C62C3" w14:textId="77777777" w:rsidR="008C0CE2" w:rsidRPr="008C0CE2" w:rsidRDefault="008C0CE2" w:rsidP="008C0CE2">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8C0CE2">
        <w:rPr>
          <w:rFonts w:ascii="Arial" w:eastAsia="Times New Roman" w:hAnsi="Arial" w:cs="Arial"/>
          <w:color w:val="000000"/>
          <w:kern w:val="0"/>
          <w:sz w:val="21"/>
          <w:szCs w:val="21"/>
          <w:lang w:eastAsia="it-IT"/>
          <w14:ligatures w14:val="none"/>
        </w:rPr>
        <w:t>Sempre per la secondaria di secondo grado siamo intervenuti per rappresentare la questione della </w:t>
      </w:r>
      <w:proofErr w:type="spellStart"/>
      <w:r w:rsidRPr="008C0CE2">
        <w:rPr>
          <w:rFonts w:ascii="Arial" w:eastAsia="Times New Roman" w:hAnsi="Arial" w:cs="Arial"/>
          <w:b/>
          <w:bCs/>
          <w:color w:val="000000"/>
          <w:kern w:val="0"/>
          <w:sz w:val="21"/>
          <w:szCs w:val="21"/>
          <w:lang w:eastAsia="it-IT"/>
          <w14:ligatures w14:val="none"/>
        </w:rPr>
        <w:t>c.d.c</w:t>
      </w:r>
      <w:proofErr w:type="spellEnd"/>
      <w:r w:rsidRPr="008C0CE2">
        <w:rPr>
          <w:rFonts w:ascii="Arial" w:eastAsia="Times New Roman" w:hAnsi="Arial" w:cs="Arial"/>
          <w:b/>
          <w:bCs/>
          <w:color w:val="000000"/>
          <w:kern w:val="0"/>
          <w:sz w:val="21"/>
          <w:szCs w:val="21"/>
          <w:lang w:eastAsia="it-IT"/>
          <w14:ligatures w14:val="none"/>
        </w:rPr>
        <w:t>. A-21 Geografia</w:t>
      </w:r>
      <w:r w:rsidRPr="008C0CE2">
        <w:rPr>
          <w:rFonts w:ascii="Arial" w:eastAsia="Times New Roman" w:hAnsi="Arial" w:cs="Arial"/>
          <w:color w:val="000000"/>
          <w:kern w:val="0"/>
          <w:sz w:val="21"/>
          <w:szCs w:val="21"/>
          <w:lang w:eastAsia="it-IT"/>
          <w14:ligatures w14:val="none"/>
        </w:rPr>
        <w:t> che risulta </w:t>
      </w:r>
      <w:r w:rsidRPr="008C0CE2">
        <w:rPr>
          <w:rFonts w:ascii="Arial" w:eastAsia="Times New Roman" w:hAnsi="Arial" w:cs="Arial"/>
          <w:b/>
          <w:bCs/>
          <w:color w:val="000000"/>
          <w:kern w:val="0"/>
          <w:sz w:val="21"/>
          <w:szCs w:val="21"/>
          <w:lang w:eastAsia="it-IT"/>
          <w14:ligatures w14:val="none"/>
        </w:rPr>
        <w:t>ingiustamente penalizzata nell’attribuzione delle ore</w:t>
      </w:r>
      <w:r w:rsidRPr="008C0CE2">
        <w:rPr>
          <w:rFonts w:ascii="Arial" w:eastAsia="Times New Roman" w:hAnsi="Arial" w:cs="Arial"/>
          <w:color w:val="000000"/>
          <w:kern w:val="0"/>
          <w:sz w:val="21"/>
          <w:szCs w:val="21"/>
          <w:lang w:eastAsia="it-IT"/>
          <w14:ligatures w14:val="none"/>
        </w:rPr>
        <w:t> specifiche di insegnamento, soprattutto negli istituti tecnici, con gravi conseguenze sia per i docenti di ruolo nel mantenimento della loro titolarità, che per quelli precari che ritardano la stabilizzazione a causa della </w:t>
      </w:r>
      <w:r w:rsidRPr="008C0CE2">
        <w:rPr>
          <w:rFonts w:ascii="Arial" w:eastAsia="Times New Roman" w:hAnsi="Arial" w:cs="Arial"/>
          <w:b/>
          <w:bCs/>
          <w:color w:val="000000"/>
          <w:kern w:val="0"/>
          <w:sz w:val="21"/>
          <w:szCs w:val="21"/>
          <w:lang w:eastAsia="it-IT"/>
          <w14:ligatures w14:val="none"/>
        </w:rPr>
        <w:t>limitata disponibilità di cattedre.</w:t>
      </w:r>
      <w:r w:rsidRPr="008C0CE2">
        <w:rPr>
          <w:rFonts w:ascii="Arial" w:eastAsia="Times New Roman" w:hAnsi="Arial" w:cs="Arial"/>
          <w:color w:val="000000"/>
          <w:kern w:val="0"/>
          <w:sz w:val="21"/>
          <w:szCs w:val="21"/>
          <w:lang w:eastAsia="it-IT"/>
          <w14:ligatures w14:val="none"/>
        </w:rPr>
        <w:t> Su questo punto, il ministero ha ricevuto la nostra proposta scritta di integrazione della circolare, aggiunta ad altre osservazioni più di dettaglio sulle quali ci ha comunicato di riservarsi ogni valutazione.</w:t>
      </w:r>
    </w:p>
    <w:p w14:paraId="7FE4C43E" w14:textId="77777777" w:rsidR="001048E1" w:rsidRPr="001048E1" w:rsidRDefault="001048E1" w:rsidP="001048E1">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1048E1">
        <w:rPr>
          <w:rFonts w:ascii="Tahoma" w:eastAsia="Times New Roman" w:hAnsi="Tahoma" w:cs="Tahoma"/>
          <w:color w:val="DC3B33"/>
          <w:kern w:val="36"/>
          <w:sz w:val="45"/>
          <w:szCs w:val="45"/>
          <w:lang w:eastAsia="it-IT"/>
          <w14:ligatures w14:val="none"/>
        </w:rPr>
        <w:t>Decontribuzione delle lavoratrici madri (“bonus mamme”): le domande entro l’8 aprile 2024</w:t>
      </w:r>
    </w:p>
    <w:p w14:paraId="064976CA" w14:textId="77777777" w:rsidR="001048E1" w:rsidRPr="001048E1" w:rsidRDefault="001048E1" w:rsidP="001048E1">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1048E1">
        <w:rPr>
          <w:rFonts w:ascii="Arial" w:eastAsia="Times New Roman" w:hAnsi="Arial" w:cs="Arial"/>
          <w:color w:val="535353"/>
          <w:kern w:val="0"/>
          <w:sz w:val="27"/>
          <w:szCs w:val="27"/>
          <w:lang w:eastAsia="it-IT"/>
          <w14:ligatures w14:val="none"/>
        </w:rPr>
        <w:t>La FLC CGIL chiede l’estensione del beneficio anche alle lavoratrici precarie e la revisione della tempistica</w:t>
      </w:r>
    </w:p>
    <w:p w14:paraId="4B5EC506" w14:textId="77777777" w:rsidR="001048E1" w:rsidRPr="001048E1" w:rsidRDefault="001048E1" w:rsidP="001048E1">
      <w:pPr>
        <w:shd w:val="clear" w:color="auto" w:fill="FFFFFF"/>
        <w:spacing w:after="0" w:line="240" w:lineRule="auto"/>
        <w:rPr>
          <w:rFonts w:ascii="Arial" w:eastAsia="Times New Roman" w:hAnsi="Arial" w:cs="Arial"/>
          <w:color w:val="4D4D4D"/>
          <w:kern w:val="0"/>
          <w:sz w:val="21"/>
          <w:szCs w:val="21"/>
          <w:lang w:eastAsia="it-IT"/>
          <w14:ligatures w14:val="none"/>
        </w:rPr>
      </w:pPr>
      <w:r w:rsidRPr="001048E1">
        <w:rPr>
          <w:rFonts w:ascii="Arial" w:eastAsia="Times New Roman" w:hAnsi="Arial" w:cs="Arial"/>
          <w:b/>
          <w:bCs/>
          <w:color w:val="4D4D4D"/>
          <w:kern w:val="0"/>
          <w:sz w:val="21"/>
          <w:szCs w:val="21"/>
          <w:lang w:eastAsia="it-IT"/>
          <w14:ligatures w14:val="none"/>
        </w:rPr>
        <w:t>27/03/2024</w:t>
      </w:r>
    </w:p>
    <w:p w14:paraId="76DD8E5F" w14:textId="77777777" w:rsidR="001048E1" w:rsidRDefault="001048E1" w:rsidP="001048E1">
      <w:pPr>
        <w:shd w:val="clear" w:color="auto" w:fill="FFFFFF"/>
        <w:spacing w:after="225" w:line="240" w:lineRule="auto"/>
        <w:jc w:val="both"/>
        <w:rPr>
          <w:rFonts w:ascii="Arial" w:eastAsia="Times New Roman" w:hAnsi="Arial" w:cs="Arial"/>
          <w:color w:val="000000"/>
          <w:kern w:val="0"/>
          <w:sz w:val="21"/>
          <w:szCs w:val="21"/>
          <w:lang w:eastAsia="it-IT"/>
          <w14:ligatures w14:val="none"/>
        </w:rPr>
      </w:pPr>
    </w:p>
    <w:p w14:paraId="0A17E0E7" w14:textId="25F9AFE4" w:rsidR="001048E1" w:rsidRPr="001048E1" w:rsidRDefault="001048E1" w:rsidP="001048E1">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1048E1">
        <w:rPr>
          <w:rFonts w:ascii="Arial" w:eastAsia="Times New Roman" w:hAnsi="Arial" w:cs="Arial"/>
          <w:color w:val="000000"/>
          <w:kern w:val="0"/>
          <w:sz w:val="21"/>
          <w:szCs w:val="21"/>
          <w:lang w:eastAsia="it-IT"/>
          <w14:ligatures w14:val="none"/>
        </w:rPr>
        <w:t>Si è svolto martedì 26 marzo 2024 l’incontro di informativa tra Ministero dell’Istruzione e del Merito e organizzazioni sindacali in merito alla </w:t>
      </w:r>
      <w:r w:rsidRPr="001048E1">
        <w:rPr>
          <w:rFonts w:ascii="Arial" w:eastAsia="Times New Roman" w:hAnsi="Arial" w:cs="Arial"/>
          <w:b/>
          <w:bCs/>
          <w:color w:val="000000"/>
          <w:kern w:val="0"/>
          <w:sz w:val="21"/>
          <w:szCs w:val="21"/>
          <w:lang w:eastAsia="it-IT"/>
          <w14:ligatures w14:val="none"/>
        </w:rPr>
        <w:t>decontribuzione delle lavoratrici madri</w:t>
      </w:r>
      <w:r w:rsidRPr="001048E1">
        <w:rPr>
          <w:rFonts w:ascii="Arial" w:eastAsia="Times New Roman" w:hAnsi="Arial" w:cs="Arial"/>
          <w:color w:val="000000"/>
          <w:kern w:val="0"/>
          <w:sz w:val="21"/>
          <w:szCs w:val="21"/>
          <w:lang w:eastAsia="it-IT"/>
          <w14:ligatures w14:val="none"/>
        </w:rPr>
        <w:t>, il cosiddetto “Bonus mamme”. Con la </w:t>
      </w:r>
      <w:hyperlink r:id="rId9" w:tgtFrame="_blank" w:history="1">
        <w:r w:rsidRPr="001048E1">
          <w:rPr>
            <w:rFonts w:ascii="Arial" w:eastAsia="Times New Roman" w:hAnsi="Arial" w:cs="Arial"/>
            <w:color w:val="005EB3"/>
            <w:kern w:val="0"/>
            <w:sz w:val="21"/>
            <w:szCs w:val="21"/>
            <w:lang w:eastAsia="it-IT"/>
            <w14:ligatures w14:val="none"/>
          </w:rPr>
          <w:t>nota 2244 del 26 marzo 2024</w:t>
        </w:r>
      </w:hyperlink>
      <w:r w:rsidRPr="001048E1">
        <w:rPr>
          <w:rFonts w:ascii="Arial" w:eastAsia="Times New Roman" w:hAnsi="Arial" w:cs="Arial"/>
          <w:color w:val="000000"/>
          <w:kern w:val="0"/>
          <w:sz w:val="21"/>
          <w:szCs w:val="21"/>
          <w:lang w:eastAsia="it-IT"/>
          <w14:ligatures w14:val="none"/>
        </w:rPr>
        <w:t> sono state fornite le </w:t>
      </w:r>
      <w:r w:rsidRPr="001048E1">
        <w:rPr>
          <w:rFonts w:ascii="Arial" w:eastAsia="Times New Roman" w:hAnsi="Arial" w:cs="Arial"/>
          <w:b/>
          <w:bCs/>
          <w:color w:val="000000"/>
          <w:kern w:val="0"/>
          <w:sz w:val="21"/>
          <w:szCs w:val="21"/>
          <w:lang w:eastAsia="it-IT"/>
          <w14:ligatures w14:val="none"/>
        </w:rPr>
        <w:t>istruzioni operative</w:t>
      </w:r>
      <w:r w:rsidRPr="001048E1">
        <w:rPr>
          <w:rFonts w:ascii="Arial" w:eastAsia="Times New Roman" w:hAnsi="Arial" w:cs="Arial"/>
          <w:color w:val="000000"/>
          <w:kern w:val="0"/>
          <w:sz w:val="21"/>
          <w:szCs w:val="21"/>
          <w:lang w:eastAsia="it-IT"/>
          <w14:ligatures w14:val="none"/>
        </w:rPr>
        <w:t>.</w:t>
      </w:r>
    </w:p>
    <w:p w14:paraId="511BC4F3" w14:textId="77777777" w:rsidR="001048E1" w:rsidRPr="001048E1" w:rsidRDefault="001048E1" w:rsidP="001048E1">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1048E1">
        <w:rPr>
          <w:rFonts w:ascii="Arial" w:eastAsia="Times New Roman" w:hAnsi="Arial" w:cs="Arial"/>
          <w:b/>
          <w:bCs/>
          <w:color w:val="535353"/>
          <w:kern w:val="0"/>
          <w:sz w:val="27"/>
          <w:szCs w:val="27"/>
          <w:lang w:eastAsia="it-IT"/>
          <w14:ligatures w14:val="none"/>
        </w:rPr>
        <w:t>Come beneficiare del “Bonus mamme”</w:t>
      </w:r>
    </w:p>
    <w:p w14:paraId="315F7F9C" w14:textId="77777777" w:rsidR="001048E1" w:rsidRPr="001048E1" w:rsidRDefault="001048E1" w:rsidP="001048E1">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1048E1">
        <w:rPr>
          <w:rFonts w:ascii="Arial" w:eastAsia="Times New Roman" w:hAnsi="Arial" w:cs="Arial"/>
          <w:color w:val="000000"/>
          <w:kern w:val="0"/>
          <w:sz w:val="21"/>
          <w:szCs w:val="21"/>
          <w:lang w:eastAsia="it-IT"/>
          <w14:ligatures w14:val="none"/>
        </w:rPr>
        <w:t>Le </w:t>
      </w:r>
      <w:r w:rsidRPr="001048E1">
        <w:rPr>
          <w:rFonts w:ascii="Arial" w:eastAsia="Times New Roman" w:hAnsi="Arial" w:cs="Arial"/>
          <w:b/>
          <w:bCs/>
          <w:color w:val="000000"/>
          <w:kern w:val="0"/>
          <w:sz w:val="21"/>
          <w:szCs w:val="21"/>
          <w:lang w:eastAsia="it-IT"/>
          <w14:ligatures w14:val="none"/>
        </w:rPr>
        <w:t>interessate  </w:t>
      </w:r>
      <w:r w:rsidRPr="001048E1">
        <w:rPr>
          <w:rFonts w:ascii="Arial" w:eastAsia="Times New Roman" w:hAnsi="Arial" w:cs="Arial"/>
          <w:color w:val="000000"/>
          <w:kern w:val="0"/>
          <w:sz w:val="21"/>
          <w:szCs w:val="21"/>
          <w:lang w:eastAsia="it-IT"/>
          <w14:ligatures w14:val="none"/>
        </w:rPr>
        <w:t>dovranno comunicare la volontà di beneficiare della misura e i dati necessari a verificare la sussistenza dei requisiti, </w:t>
      </w:r>
      <w:r w:rsidRPr="001048E1">
        <w:rPr>
          <w:rFonts w:ascii="Arial" w:eastAsia="Times New Roman" w:hAnsi="Arial" w:cs="Arial"/>
          <w:b/>
          <w:bCs/>
          <w:color w:val="000000"/>
          <w:kern w:val="0"/>
          <w:sz w:val="21"/>
          <w:szCs w:val="21"/>
          <w:lang w:eastAsia="it-IT"/>
          <w14:ligatures w14:val="none"/>
        </w:rPr>
        <w:t>entro il prossimo 8 aprile</w:t>
      </w:r>
      <w:r w:rsidRPr="001048E1">
        <w:rPr>
          <w:rFonts w:ascii="Arial" w:eastAsia="Times New Roman" w:hAnsi="Arial" w:cs="Arial"/>
          <w:color w:val="000000"/>
          <w:kern w:val="0"/>
          <w:sz w:val="21"/>
          <w:szCs w:val="21"/>
          <w:lang w:eastAsia="it-IT"/>
          <w14:ligatures w14:val="none"/>
        </w:rPr>
        <w:t>, direttamente attraverso l’applicativo informatico, accessibile dal SIDI.</w:t>
      </w:r>
      <w:r w:rsidRPr="001048E1">
        <w:rPr>
          <w:rFonts w:ascii="Arial" w:eastAsia="Times New Roman" w:hAnsi="Arial" w:cs="Arial"/>
          <w:color w:val="000000"/>
          <w:kern w:val="0"/>
          <w:sz w:val="21"/>
          <w:szCs w:val="21"/>
          <w:lang w:eastAsia="it-IT"/>
          <w14:ligatures w14:val="none"/>
        </w:rPr>
        <w:br/>
        <w:t>Per effettuare l’operazione, accedere all’</w:t>
      </w:r>
      <w:hyperlink r:id="rId10" w:tgtFrame="_blank" w:history="1">
        <w:r w:rsidRPr="001048E1">
          <w:rPr>
            <w:rFonts w:ascii="Arial" w:eastAsia="Times New Roman" w:hAnsi="Arial" w:cs="Arial"/>
            <w:color w:val="005EB3"/>
            <w:kern w:val="0"/>
            <w:sz w:val="21"/>
            <w:szCs w:val="21"/>
            <w:lang w:eastAsia="it-IT"/>
            <w14:ligatures w14:val="none"/>
          </w:rPr>
          <w:t>area riservata del sito del ministero</w:t>
        </w:r>
      </w:hyperlink>
      <w:r w:rsidRPr="001048E1">
        <w:rPr>
          <w:rFonts w:ascii="Arial" w:eastAsia="Times New Roman" w:hAnsi="Arial" w:cs="Arial"/>
          <w:color w:val="000000"/>
          <w:kern w:val="0"/>
          <w:sz w:val="21"/>
          <w:szCs w:val="21"/>
          <w:lang w:eastAsia="it-IT"/>
          <w14:ligatures w14:val="none"/>
        </w:rPr>
        <w:t> e selezionare il </w:t>
      </w:r>
      <w:r w:rsidRPr="001048E1">
        <w:rPr>
          <w:rFonts w:ascii="Arial" w:eastAsia="Times New Roman" w:hAnsi="Arial" w:cs="Arial"/>
          <w:b/>
          <w:bCs/>
          <w:color w:val="000000"/>
          <w:kern w:val="0"/>
          <w:sz w:val="21"/>
          <w:szCs w:val="21"/>
          <w:lang w:eastAsia="it-IT"/>
          <w14:ligatures w14:val="none"/>
        </w:rPr>
        <w:t>servizio “decontribuzione di maternità”</w:t>
      </w:r>
      <w:r w:rsidRPr="001048E1">
        <w:rPr>
          <w:rFonts w:ascii="Arial" w:eastAsia="Times New Roman" w:hAnsi="Arial" w:cs="Arial"/>
          <w:color w:val="000000"/>
          <w:kern w:val="0"/>
          <w:sz w:val="21"/>
          <w:szCs w:val="21"/>
          <w:lang w:eastAsia="it-IT"/>
          <w14:ligatures w14:val="none"/>
        </w:rPr>
        <w:t> nell’elenco di tutti i servizi. </w:t>
      </w:r>
      <w:hyperlink r:id="rId11" w:tgtFrame="_blank" w:history="1">
        <w:r w:rsidRPr="001048E1">
          <w:rPr>
            <w:rFonts w:ascii="Arial" w:eastAsia="Times New Roman" w:hAnsi="Arial" w:cs="Arial"/>
            <w:color w:val="005EB3"/>
            <w:kern w:val="0"/>
            <w:sz w:val="21"/>
            <w:szCs w:val="21"/>
            <w:lang w:eastAsia="it-IT"/>
            <w14:ligatures w14:val="none"/>
          </w:rPr>
          <w:t>Approfondisci</w:t>
        </w:r>
      </w:hyperlink>
      <w:r w:rsidRPr="001048E1">
        <w:rPr>
          <w:rFonts w:ascii="Arial" w:eastAsia="Times New Roman" w:hAnsi="Arial" w:cs="Arial"/>
          <w:color w:val="000000"/>
          <w:kern w:val="0"/>
          <w:sz w:val="21"/>
          <w:szCs w:val="21"/>
          <w:lang w:eastAsia="it-IT"/>
          <w14:ligatures w14:val="none"/>
        </w:rPr>
        <w:t>.</w:t>
      </w:r>
    </w:p>
    <w:p w14:paraId="37AF5BA3" w14:textId="77777777" w:rsidR="001048E1" w:rsidRPr="001048E1" w:rsidRDefault="001048E1" w:rsidP="001048E1">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1048E1">
        <w:rPr>
          <w:rFonts w:ascii="Arial" w:eastAsia="Times New Roman" w:hAnsi="Arial" w:cs="Arial"/>
          <w:b/>
          <w:bCs/>
          <w:color w:val="535353"/>
          <w:kern w:val="0"/>
          <w:sz w:val="27"/>
          <w:szCs w:val="27"/>
          <w:lang w:eastAsia="it-IT"/>
          <w14:ligatures w14:val="none"/>
        </w:rPr>
        <w:t>Cosa prevede il bonus</w:t>
      </w:r>
    </w:p>
    <w:p w14:paraId="5D5B5F7E" w14:textId="77777777" w:rsidR="001048E1" w:rsidRPr="001048E1" w:rsidRDefault="001048E1" w:rsidP="001048E1">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1048E1">
        <w:rPr>
          <w:rFonts w:ascii="Arial" w:eastAsia="Times New Roman" w:hAnsi="Arial" w:cs="Arial"/>
          <w:color w:val="000000"/>
          <w:kern w:val="0"/>
          <w:sz w:val="21"/>
          <w:szCs w:val="21"/>
          <w:lang w:eastAsia="it-IT"/>
          <w14:ligatures w14:val="none"/>
        </w:rPr>
        <w:lastRenderedPageBreak/>
        <w:t>La </w:t>
      </w:r>
      <w:r w:rsidRPr="001048E1">
        <w:rPr>
          <w:rFonts w:ascii="Arial" w:eastAsia="Times New Roman" w:hAnsi="Arial" w:cs="Arial"/>
          <w:b/>
          <w:bCs/>
          <w:color w:val="000000"/>
          <w:kern w:val="0"/>
          <w:sz w:val="21"/>
          <w:szCs w:val="21"/>
          <w:lang w:eastAsia="it-IT"/>
          <w14:ligatures w14:val="none"/>
        </w:rPr>
        <w:t>Legge di Bilancio 2024</w:t>
      </w:r>
      <w:r w:rsidRPr="001048E1">
        <w:rPr>
          <w:rFonts w:ascii="Arial" w:eastAsia="Times New Roman" w:hAnsi="Arial" w:cs="Arial"/>
          <w:color w:val="000000"/>
          <w:kern w:val="0"/>
          <w:sz w:val="21"/>
          <w:szCs w:val="21"/>
          <w:lang w:eastAsia="it-IT"/>
          <w14:ligatures w14:val="none"/>
        </w:rPr>
        <w:t> ha previsto l’esonero della contribuzione previdenziale, </w:t>
      </w:r>
      <w:r w:rsidRPr="001048E1">
        <w:rPr>
          <w:rFonts w:ascii="Arial" w:eastAsia="Times New Roman" w:hAnsi="Arial" w:cs="Arial"/>
          <w:b/>
          <w:bCs/>
          <w:color w:val="000000"/>
          <w:kern w:val="0"/>
          <w:sz w:val="21"/>
          <w:szCs w:val="21"/>
          <w:lang w:eastAsia="it-IT"/>
          <w14:ligatures w14:val="none"/>
        </w:rPr>
        <w:t>fino ad un massimo di 3.000 euro annui</w:t>
      </w:r>
      <w:r w:rsidRPr="001048E1">
        <w:rPr>
          <w:rFonts w:ascii="Arial" w:eastAsia="Times New Roman" w:hAnsi="Arial" w:cs="Arial"/>
          <w:color w:val="000000"/>
          <w:kern w:val="0"/>
          <w:sz w:val="21"/>
          <w:szCs w:val="21"/>
          <w:lang w:eastAsia="it-IT"/>
          <w14:ligatures w14:val="none"/>
        </w:rPr>
        <w:t>, per le </w:t>
      </w:r>
      <w:r w:rsidRPr="001048E1">
        <w:rPr>
          <w:rFonts w:ascii="Arial" w:eastAsia="Times New Roman" w:hAnsi="Arial" w:cs="Arial"/>
          <w:b/>
          <w:bCs/>
          <w:color w:val="000000"/>
          <w:kern w:val="0"/>
          <w:sz w:val="21"/>
          <w:szCs w:val="21"/>
          <w:lang w:eastAsia="it-IT"/>
          <w14:ligatures w14:val="none"/>
        </w:rPr>
        <w:t>lavoratrici madri che abbiano almeno tre figli</w:t>
      </w:r>
      <w:r w:rsidRPr="001048E1">
        <w:rPr>
          <w:rFonts w:ascii="Arial" w:eastAsia="Times New Roman" w:hAnsi="Arial" w:cs="Arial"/>
          <w:color w:val="000000"/>
          <w:kern w:val="0"/>
          <w:sz w:val="21"/>
          <w:szCs w:val="21"/>
          <w:lang w:eastAsia="it-IT"/>
          <w14:ligatures w14:val="none"/>
        </w:rPr>
        <w:t>.</w:t>
      </w:r>
      <w:r w:rsidRPr="001048E1">
        <w:rPr>
          <w:rFonts w:ascii="Arial" w:eastAsia="Times New Roman" w:hAnsi="Arial" w:cs="Arial"/>
          <w:color w:val="000000"/>
          <w:kern w:val="0"/>
          <w:sz w:val="21"/>
          <w:szCs w:val="21"/>
          <w:lang w:eastAsia="it-IT"/>
          <w14:ligatures w14:val="none"/>
        </w:rPr>
        <w:br/>
        <w:t>In via sperimentale, per il 2024, il bonus è attribuito anche in </w:t>
      </w:r>
      <w:r w:rsidRPr="001048E1">
        <w:rPr>
          <w:rFonts w:ascii="Arial" w:eastAsia="Times New Roman" w:hAnsi="Arial" w:cs="Arial"/>
          <w:b/>
          <w:bCs/>
          <w:color w:val="000000"/>
          <w:kern w:val="0"/>
          <w:sz w:val="21"/>
          <w:szCs w:val="21"/>
          <w:lang w:eastAsia="it-IT"/>
          <w14:ligatures w14:val="none"/>
        </w:rPr>
        <w:t>presenza di due figli di cui almeno uno con un’età inferiore a 10 anni</w:t>
      </w:r>
      <w:r w:rsidRPr="001048E1">
        <w:rPr>
          <w:rFonts w:ascii="Arial" w:eastAsia="Times New Roman" w:hAnsi="Arial" w:cs="Arial"/>
          <w:color w:val="000000"/>
          <w:kern w:val="0"/>
          <w:sz w:val="21"/>
          <w:szCs w:val="21"/>
          <w:lang w:eastAsia="it-IT"/>
          <w14:ligatures w14:val="none"/>
        </w:rPr>
        <w:t>.</w:t>
      </w:r>
    </w:p>
    <w:p w14:paraId="156B5877" w14:textId="77777777" w:rsidR="001048E1" w:rsidRPr="001048E1" w:rsidRDefault="001048E1" w:rsidP="001048E1">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1048E1">
        <w:rPr>
          <w:rFonts w:ascii="Arial" w:eastAsia="Times New Roman" w:hAnsi="Arial" w:cs="Arial"/>
          <w:b/>
          <w:bCs/>
          <w:color w:val="535353"/>
          <w:kern w:val="0"/>
          <w:sz w:val="27"/>
          <w:szCs w:val="27"/>
          <w:lang w:eastAsia="it-IT"/>
          <w14:ligatures w14:val="none"/>
        </w:rPr>
        <w:t>Il nostro commento</w:t>
      </w:r>
    </w:p>
    <w:p w14:paraId="522D9217" w14:textId="77777777" w:rsidR="001048E1" w:rsidRPr="001048E1" w:rsidRDefault="001048E1" w:rsidP="001048E1">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1048E1">
        <w:rPr>
          <w:rFonts w:ascii="Arial" w:eastAsia="Times New Roman" w:hAnsi="Arial" w:cs="Arial"/>
          <w:color w:val="000000"/>
          <w:kern w:val="0"/>
          <w:sz w:val="21"/>
          <w:szCs w:val="21"/>
          <w:lang w:eastAsia="it-IT"/>
          <w14:ligatures w14:val="none"/>
        </w:rPr>
        <w:t>La </w:t>
      </w:r>
      <w:r w:rsidRPr="001048E1">
        <w:rPr>
          <w:rFonts w:ascii="Arial" w:eastAsia="Times New Roman" w:hAnsi="Arial" w:cs="Arial"/>
          <w:b/>
          <w:bCs/>
          <w:color w:val="000000"/>
          <w:kern w:val="0"/>
          <w:sz w:val="21"/>
          <w:szCs w:val="21"/>
          <w:lang w:eastAsia="it-IT"/>
          <w14:ligatures w14:val="none"/>
        </w:rPr>
        <w:t>FLC CGIL</w:t>
      </w:r>
      <w:r w:rsidRPr="001048E1">
        <w:rPr>
          <w:rFonts w:ascii="Arial" w:eastAsia="Times New Roman" w:hAnsi="Arial" w:cs="Arial"/>
          <w:color w:val="000000"/>
          <w:kern w:val="0"/>
          <w:sz w:val="21"/>
          <w:szCs w:val="21"/>
          <w:lang w:eastAsia="it-IT"/>
          <w14:ligatures w14:val="none"/>
        </w:rPr>
        <w:t> ha sollecitato incessantemente l’amministrazione per evitare che la procedura gravasse ulteriormente sul lavoro delle </w:t>
      </w:r>
      <w:r w:rsidRPr="001048E1">
        <w:rPr>
          <w:rFonts w:ascii="Arial" w:eastAsia="Times New Roman" w:hAnsi="Arial" w:cs="Arial"/>
          <w:b/>
          <w:bCs/>
          <w:color w:val="000000"/>
          <w:kern w:val="0"/>
          <w:sz w:val="21"/>
          <w:szCs w:val="21"/>
          <w:lang w:eastAsia="it-IT"/>
          <w14:ligatures w14:val="none"/>
        </w:rPr>
        <w:t>segreterie scolastiche</w:t>
      </w:r>
      <w:r w:rsidRPr="001048E1">
        <w:rPr>
          <w:rFonts w:ascii="Arial" w:eastAsia="Times New Roman" w:hAnsi="Arial" w:cs="Arial"/>
          <w:color w:val="000000"/>
          <w:kern w:val="0"/>
          <w:sz w:val="21"/>
          <w:szCs w:val="21"/>
          <w:lang w:eastAsia="it-IT"/>
          <w14:ligatures w14:val="none"/>
        </w:rPr>
        <w:t>, pertanto esprime </w:t>
      </w:r>
      <w:r w:rsidRPr="001048E1">
        <w:rPr>
          <w:rFonts w:ascii="Arial" w:eastAsia="Times New Roman" w:hAnsi="Arial" w:cs="Arial"/>
          <w:b/>
          <w:bCs/>
          <w:color w:val="000000"/>
          <w:kern w:val="0"/>
          <w:sz w:val="21"/>
          <w:szCs w:val="21"/>
          <w:lang w:eastAsia="it-IT"/>
          <w14:ligatures w14:val="none"/>
        </w:rPr>
        <w:t>soddisfazione per il processo di semplificazione dell’istanza</w:t>
      </w:r>
      <w:r w:rsidRPr="001048E1">
        <w:rPr>
          <w:rFonts w:ascii="Arial" w:eastAsia="Times New Roman" w:hAnsi="Arial" w:cs="Arial"/>
          <w:color w:val="000000"/>
          <w:kern w:val="0"/>
          <w:sz w:val="21"/>
          <w:szCs w:val="21"/>
          <w:lang w:eastAsia="it-IT"/>
          <w14:ligatures w14:val="none"/>
        </w:rPr>
        <w:t>.</w:t>
      </w:r>
    </w:p>
    <w:p w14:paraId="394A536C" w14:textId="77777777" w:rsidR="001048E1" w:rsidRPr="001048E1" w:rsidRDefault="001048E1" w:rsidP="001048E1">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1048E1">
        <w:rPr>
          <w:rFonts w:ascii="Arial" w:eastAsia="Times New Roman" w:hAnsi="Arial" w:cs="Arial"/>
          <w:color w:val="000000"/>
          <w:kern w:val="0"/>
          <w:sz w:val="21"/>
          <w:szCs w:val="21"/>
          <w:lang w:eastAsia="it-IT"/>
          <w14:ligatures w14:val="none"/>
        </w:rPr>
        <w:t>Pur consapevoli che l’</w:t>
      </w:r>
      <w:r w:rsidRPr="001048E1">
        <w:rPr>
          <w:rFonts w:ascii="Arial" w:eastAsia="Times New Roman" w:hAnsi="Arial" w:cs="Arial"/>
          <w:b/>
          <w:bCs/>
          <w:color w:val="000000"/>
          <w:kern w:val="0"/>
          <w:sz w:val="21"/>
          <w:szCs w:val="21"/>
          <w:lang w:eastAsia="it-IT"/>
          <w14:ligatures w14:val="none"/>
        </w:rPr>
        <w:t>esclusione dal beneficio delle lavoratrici a tempo determinato </w:t>
      </w:r>
      <w:r w:rsidRPr="001048E1">
        <w:rPr>
          <w:rFonts w:ascii="Arial" w:eastAsia="Times New Roman" w:hAnsi="Arial" w:cs="Arial"/>
          <w:color w:val="000000"/>
          <w:kern w:val="0"/>
          <w:sz w:val="21"/>
          <w:szCs w:val="21"/>
          <w:lang w:eastAsia="it-IT"/>
          <w14:ligatures w14:val="none"/>
        </w:rPr>
        <w:t>è contenuta nella norma, </w:t>
      </w:r>
      <w:r w:rsidRPr="001048E1">
        <w:rPr>
          <w:rFonts w:ascii="Arial" w:eastAsia="Times New Roman" w:hAnsi="Arial" w:cs="Arial"/>
          <w:b/>
          <w:bCs/>
          <w:color w:val="000000"/>
          <w:kern w:val="0"/>
          <w:sz w:val="21"/>
          <w:szCs w:val="21"/>
          <w:lang w:eastAsia="it-IT"/>
          <w14:ligatures w14:val="none"/>
        </w:rPr>
        <w:t>esprimiamo forte contrarietà</w:t>
      </w:r>
      <w:r w:rsidRPr="001048E1">
        <w:rPr>
          <w:rFonts w:ascii="Arial" w:eastAsia="Times New Roman" w:hAnsi="Arial" w:cs="Arial"/>
          <w:color w:val="000000"/>
          <w:kern w:val="0"/>
          <w:sz w:val="21"/>
          <w:szCs w:val="21"/>
          <w:lang w:eastAsia="it-IT"/>
          <w14:ligatures w14:val="none"/>
        </w:rPr>
        <w:t> e auspichiamo che si intervenga a modifica con ulteriori dispositivi normativi.</w:t>
      </w:r>
    </w:p>
    <w:p w14:paraId="736F329E" w14:textId="77777777" w:rsidR="001048E1" w:rsidRPr="001048E1" w:rsidRDefault="001048E1" w:rsidP="001048E1">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1048E1">
        <w:rPr>
          <w:rFonts w:ascii="Arial" w:eastAsia="Times New Roman" w:hAnsi="Arial" w:cs="Arial"/>
          <w:color w:val="000000"/>
          <w:kern w:val="0"/>
          <w:sz w:val="21"/>
          <w:szCs w:val="21"/>
          <w:lang w:eastAsia="it-IT"/>
          <w14:ligatures w14:val="none"/>
        </w:rPr>
        <w:t>Abbiamo anche chiesto di poter ampliare i termini previsti per la presentazione delle domande in quanto la </w:t>
      </w:r>
      <w:r w:rsidRPr="001048E1">
        <w:rPr>
          <w:rFonts w:ascii="Arial" w:eastAsia="Times New Roman" w:hAnsi="Arial" w:cs="Arial"/>
          <w:b/>
          <w:bCs/>
          <w:color w:val="000000"/>
          <w:kern w:val="0"/>
          <w:sz w:val="21"/>
          <w:szCs w:val="21"/>
          <w:lang w:eastAsia="it-IT"/>
          <w14:ligatures w14:val="none"/>
        </w:rPr>
        <w:t>tempistica</w:t>
      </w:r>
      <w:r w:rsidRPr="001048E1">
        <w:rPr>
          <w:rFonts w:ascii="Arial" w:eastAsia="Times New Roman" w:hAnsi="Arial" w:cs="Arial"/>
          <w:color w:val="000000"/>
          <w:kern w:val="0"/>
          <w:sz w:val="21"/>
          <w:szCs w:val="21"/>
          <w:lang w:eastAsia="it-IT"/>
          <w14:ligatures w14:val="none"/>
        </w:rPr>
        <w:t> fissata da NOIPA risulta </w:t>
      </w:r>
      <w:r w:rsidRPr="001048E1">
        <w:rPr>
          <w:rFonts w:ascii="Arial" w:eastAsia="Times New Roman" w:hAnsi="Arial" w:cs="Arial"/>
          <w:b/>
          <w:bCs/>
          <w:color w:val="000000"/>
          <w:kern w:val="0"/>
          <w:sz w:val="21"/>
          <w:szCs w:val="21"/>
          <w:lang w:eastAsia="it-IT"/>
          <w14:ligatures w14:val="none"/>
        </w:rPr>
        <w:t>eccessivamente stringente</w:t>
      </w:r>
      <w:r w:rsidRPr="001048E1">
        <w:rPr>
          <w:rFonts w:ascii="Arial" w:eastAsia="Times New Roman" w:hAnsi="Arial" w:cs="Arial"/>
          <w:color w:val="000000"/>
          <w:kern w:val="0"/>
          <w:sz w:val="21"/>
          <w:szCs w:val="21"/>
          <w:lang w:eastAsia="it-IT"/>
          <w14:ligatures w14:val="none"/>
        </w:rPr>
        <w:t> rispetto alla platea dei beneficiari del settore scuola.</w:t>
      </w:r>
    </w:p>
    <w:sectPr w:rsidR="001048E1" w:rsidRPr="001048E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F4A25"/>
    <w:multiLevelType w:val="multilevel"/>
    <w:tmpl w:val="459A8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924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CE2"/>
    <w:rsid w:val="000D0D40"/>
    <w:rsid w:val="000D0EC2"/>
    <w:rsid w:val="001048E1"/>
    <w:rsid w:val="008C0CE2"/>
    <w:rsid w:val="00A2262B"/>
    <w:rsid w:val="00D431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3B636"/>
  <w15:chartTrackingRefBased/>
  <w15:docId w15:val="{5D30378A-21D7-42E8-A57B-45E7C24E4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162351">
      <w:bodyDiv w:val="1"/>
      <w:marLeft w:val="0"/>
      <w:marRight w:val="0"/>
      <w:marTop w:val="0"/>
      <w:marBottom w:val="0"/>
      <w:divBdr>
        <w:top w:val="none" w:sz="0" w:space="0" w:color="auto"/>
        <w:left w:val="none" w:sz="0" w:space="0" w:color="auto"/>
        <w:bottom w:val="none" w:sz="0" w:space="0" w:color="auto"/>
        <w:right w:val="none" w:sz="0" w:space="0" w:color="auto"/>
      </w:divBdr>
      <w:divsChild>
        <w:div w:id="226232545">
          <w:marLeft w:val="0"/>
          <w:marRight w:val="0"/>
          <w:marTop w:val="150"/>
          <w:marBottom w:val="150"/>
          <w:divBdr>
            <w:top w:val="none" w:sz="0" w:space="0" w:color="auto"/>
            <w:left w:val="none" w:sz="0" w:space="0" w:color="auto"/>
            <w:bottom w:val="single" w:sz="6" w:space="0" w:color="CCCCCC"/>
            <w:right w:val="none" w:sz="0" w:space="0" w:color="auto"/>
          </w:divBdr>
          <w:divsChild>
            <w:div w:id="292440990">
              <w:marLeft w:val="0"/>
              <w:marRight w:val="0"/>
              <w:marTop w:val="0"/>
              <w:marBottom w:val="0"/>
              <w:divBdr>
                <w:top w:val="none" w:sz="0" w:space="0" w:color="auto"/>
                <w:left w:val="none" w:sz="0" w:space="0" w:color="auto"/>
                <w:bottom w:val="none" w:sz="0" w:space="0" w:color="auto"/>
                <w:right w:val="none" w:sz="0" w:space="0" w:color="auto"/>
              </w:divBdr>
            </w:div>
          </w:divsChild>
        </w:div>
        <w:div w:id="436222153">
          <w:marLeft w:val="0"/>
          <w:marRight w:val="0"/>
          <w:marTop w:val="75"/>
          <w:marBottom w:val="150"/>
          <w:divBdr>
            <w:top w:val="none" w:sz="0" w:space="0" w:color="auto"/>
            <w:left w:val="none" w:sz="0" w:space="0" w:color="auto"/>
            <w:bottom w:val="none" w:sz="0" w:space="0" w:color="auto"/>
            <w:right w:val="none" w:sz="0" w:space="0" w:color="auto"/>
          </w:divBdr>
        </w:div>
      </w:divsChild>
    </w:div>
    <w:div w:id="556287038">
      <w:bodyDiv w:val="1"/>
      <w:marLeft w:val="0"/>
      <w:marRight w:val="0"/>
      <w:marTop w:val="0"/>
      <w:marBottom w:val="0"/>
      <w:divBdr>
        <w:top w:val="none" w:sz="0" w:space="0" w:color="auto"/>
        <w:left w:val="none" w:sz="0" w:space="0" w:color="auto"/>
        <w:bottom w:val="none" w:sz="0" w:space="0" w:color="auto"/>
        <w:right w:val="none" w:sz="0" w:space="0" w:color="auto"/>
      </w:divBdr>
      <w:divsChild>
        <w:div w:id="1383868245">
          <w:marLeft w:val="0"/>
          <w:marRight w:val="0"/>
          <w:marTop w:val="150"/>
          <w:marBottom w:val="150"/>
          <w:divBdr>
            <w:top w:val="none" w:sz="0" w:space="0" w:color="auto"/>
            <w:left w:val="none" w:sz="0" w:space="0" w:color="auto"/>
            <w:bottom w:val="single" w:sz="6" w:space="0" w:color="CCCCCC"/>
            <w:right w:val="none" w:sz="0" w:space="0" w:color="auto"/>
          </w:divBdr>
          <w:divsChild>
            <w:div w:id="1028608338">
              <w:marLeft w:val="0"/>
              <w:marRight w:val="0"/>
              <w:marTop w:val="0"/>
              <w:marBottom w:val="0"/>
              <w:divBdr>
                <w:top w:val="none" w:sz="0" w:space="0" w:color="auto"/>
                <w:left w:val="none" w:sz="0" w:space="0" w:color="auto"/>
                <w:bottom w:val="none" w:sz="0" w:space="0" w:color="auto"/>
                <w:right w:val="none" w:sz="0" w:space="0" w:color="auto"/>
              </w:divBdr>
            </w:div>
          </w:divsChild>
        </w:div>
        <w:div w:id="1944149279">
          <w:marLeft w:val="0"/>
          <w:marRight w:val="0"/>
          <w:marTop w:val="0"/>
          <w:marBottom w:val="0"/>
          <w:divBdr>
            <w:top w:val="none" w:sz="0" w:space="0" w:color="auto"/>
            <w:left w:val="none" w:sz="0" w:space="0" w:color="auto"/>
            <w:bottom w:val="none" w:sz="0" w:space="0" w:color="auto"/>
            <w:right w:val="none" w:sz="0" w:space="0" w:color="auto"/>
          </w:divBdr>
          <w:divsChild>
            <w:div w:id="154346357">
              <w:marLeft w:val="75"/>
              <w:marRight w:val="150"/>
              <w:marTop w:val="45"/>
              <w:marBottom w:val="75"/>
              <w:divBdr>
                <w:top w:val="none" w:sz="0" w:space="0" w:color="auto"/>
                <w:left w:val="none" w:sz="0" w:space="0" w:color="auto"/>
                <w:bottom w:val="none" w:sz="0" w:space="0" w:color="auto"/>
                <w:right w:val="none" w:sz="0" w:space="0" w:color="auto"/>
              </w:divBdr>
            </w:div>
            <w:div w:id="1600336743">
              <w:marLeft w:val="300"/>
              <w:marRight w:val="150"/>
              <w:marTop w:val="75"/>
              <w:marBottom w:val="0"/>
              <w:divBdr>
                <w:top w:val="none" w:sz="0" w:space="0" w:color="auto"/>
                <w:left w:val="none" w:sz="0" w:space="0" w:color="auto"/>
                <w:bottom w:val="none" w:sz="0" w:space="0" w:color="auto"/>
                <w:right w:val="none" w:sz="0" w:space="0" w:color="auto"/>
              </w:divBdr>
            </w:div>
            <w:div w:id="22678585">
              <w:marLeft w:val="300"/>
              <w:marRight w:val="150"/>
              <w:marTop w:val="75"/>
              <w:marBottom w:val="0"/>
              <w:divBdr>
                <w:top w:val="none" w:sz="0" w:space="0" w:color="auto"/>
                <w:left w:val="none" w:sz="0" w:space="0" w:color="auto"/>
                <w:bottom w:val="none" w:sz="0" w:space="0" w:color="auto"/>
                <w:right w:val="none" w:sz="0" w:space="0" w:color="auto"/>
              </w:divBdr>
            </w:div>
          </w:divsChild>
        </w:div>
        <w:div w:id="455370693">
          <w:marLeft w:val="0"/>
          <w:marRight w:val="0"/>
          <w:marTop w:val="75"/>
          <w:marBottom w:val="150"/>
          <w:divBdr>
            <w:top w:val="none" w:sz="0" w:space="0" w:color="auto"/>
            <w:left w:val="none" w:sz="0" w:space="0" w:color="auto"/>
            <w:bottom w:val="none" w:sz="0" w:space="0" w:color="auto"/>
            <w:right w:val="none" w:sz="0" w:space="0" w:color="auto"/>
          </w:divBdr>
        </w:div>
      </w:divsChild>
    </w:div>
    <w:div w:id="710347346">
      <w:bodyDiv w:val="1"/>
      <w:marLeft w:val="0"/>
      <w:marRight w:val="0"/>
      <w:marTop w:val="0"/>
      <w:marBottom w:val="0"/>
      <w:divBdr>
        <w:top w:val="none" w:sz="0" w:space="0" w:color="auto"/>
        <w:left w:val="none" w:sz="0" w:space="0" w:color="auto"/>
        <w:bottom w:val="none" w:sz="0" w:space="0" w:color="auto"/>
        <w:right w:val="none" w:sz="0" w:space="0" w:color="auto"/>
      </w:divBdr>
      <w:divsChild>
        <w:div w:id="22632601">
          <w:marLeft w:val="0"/>
          <w:marRight w:val="0"/>
          <w:marTop w:val="150"/>
          <w:marBottom w:val="150"/>
          <w:divBdr>
            <w:top w:val="none" w:sz="0" w:space="0" w:color="auto"/>
            <w:left w:val="none" w:sz="0" w:space="0" w:color="auto"/>
            <w:bottom w:val="single" w:sz="6" w:space="0" w:color="CCCCCC"/>
            <w:right w:val="none" w:sz="0" w:space="0" w:color="auto"/>
          </w:divBdr>
          <w:divsChild>
            <w:div w:id="1337072648">
              <w:marLeft w:val="0"/>
              <w:marRight w:val="0"/>
              <w:marTop w:val="0"/>
              <w:marBottom w:val="0"/>
              <w:divBdr>
                <w:top w:val="none" w:sz="0" w:space="0" w:color="auto"/>
                <w:left w:val="none" w:sz="0" w:space="0" w:color="auto"/>
                <w:bottom w:val="none" w:sz="0" w:space="0" w:color="auto"/>
                <w:right w:val="none" w:sz="0" w:space="0" w:color="auto"/>
              </w:divBdr>
            </w:div>
          </w:divsChild>
        </w:div>
        <w:div w:id="1521814481">
          <w:marLeft w:val="0"/>
          <w:marRight w:val="0"/>
          <w:marTop w:val="0"/>
          <w:marBottom w:val="0"/>
          <w:divBdr>
            <w:top w:val="none" w:sz="0" w:space="0" w:color="auto"/>
            <w:left w:val="none" w:sz="0" w:space="0" w:color="auto"/>
            <w:bottom w:val="none" w:sz="0" w:space="0" w:color="auto"/>
            <w:right w:val="none" w:sz="0" w:space="0" w:color="auto"/>
          </w:divBdr>
          <w:divsChild>
            <w:div w:id="136189692">
              <w:marLeft w:val="75"/>
              <w:marRight w:val="150"/>
              <w:marTop w:val="45"/>
              <w:marBottom w:val="75"/>
              <w:divBdr>
                <w:top w:val="none" w:sz="0" w:space="0" w:color="auto"/>
                <w:left w:val="none" w:sz="0" w:space="0" w:color="auto"/>
                <w:bottom w:val="none" w:sz="0" w:space="0" w:color="auto"/>
                <w:right w:val="none" w:sz="0" w:space="0" w:color="auto"/>
              </w:divBdr>
            </w:div>
            <w:div w:id="1604458834">
              <w:marLeft w:val="300"/>
              <w:marRight w:val="150"/>
              <w:marTop w:val="75"/>
              <w:marBottom w:val="0"/>
              <w:divBdr>
                <w:top w:val="none" w:sz="0" w:space="0" w:color="auto"/>
                <w:left w:val="none" w:sz="0" w:space="0" w:color="auto"/>
                <w:bottom w:val="none" w:sz="0" w:space="0" w:color="auto"/>
                <w:right w:val="none" w:sz="0" w:space="0" w:color="auto"/>
              </w:divBdr>
            </w:div>
            <w:div w:id="1822844260">
              <w:marLeft w:val="300"/>
              <w:marRight w:val="150"/>
              <w:marTop w:val="75"/>
              <w:marBottom w:val="0"/>
              <w:divBdr>
                <w:top w:val="none" w:sz="0" w:space="0" w:color="auto"/>
                <w:left w:val="none" w:sz="0" w:space="0" w:color="auto"/>
                <w:bottom w:val="none" w:sz="0" w:space="0" w:color="auto"/>
                <w:right w:val="none" w:sz="0" w:space="0" w:color="auto"/>
              </w:divBdr>
            </w:div>
          </w:divsChild>
        </w:div>
        <w:div w:id="1713453735">
          <w:marLeft w:val="0"/>
          <w:marRight w:val="0"/>
          <w:marTop w:val="75"/>
          <w:marBottom w:val="150"/>
          <w:divBdr>
            <w:top w:val="none" w:sz="0" w:space="0" w:color="auto"/>
            <w:left w:val="none" w:sz="0" w:space="0" w:color="auto"/>
            <w:bottom w:val="none" w:sz="0" w:space="0" w:color="auto"/>
            <w:right w:val="none" w:sz="0" w:space="0" w:color="auto"/>
          </w:divBdr>
        </w:div>
      </w:divsChild>
    </w:div>
    <w:div w:id="1133594774">
      <w:bodyDiv w:val="1"/>
      <w:marLeft w:val="0"/>
      <w:marRight w:val="0"/>
      <w:marTop w:val="0"/>
      <w:marBottom w:val="0"/>
      <w:divBdr>
        <w:top w:val="none" w:sz="0" w:space="0" w:color="auto"/>
        <w:left w:val="none" w:sz="0" w:space="0" w:color="auto"/>
        <w:bottom w:val="none" w:sz="0" w:space="0" w:color="auto"/>
        <w:right w:val="none" w:sz="0" w:space="0" w:color="auto"/>
      </w:divBdr>
      <w:divsChild>
        <w:div w:id="439112125">
          <w:marLeft w:val="0"/>
          <w:marRight w:val="0"/>
          <w:marTop w:val="150"/>
          <w:marBottom w:val="150"/>
          <w:divBdr>
            <w:top w:val="none" w:sz="0" w:space="0" w:color="auto"/>
            <w:left w:val="none" w:sz="0" w:space="0" w:color="auto"/>
            <w:bottom w:val="single" w:sz="6" w:space="0" w:color="CCCCCC"/>
            <w:right w:val="none" w:sz="0" w:space="0" w:color="auto"/>
          </w:divBdr>
          <w:divsChild>
            <w:div w:id="872303815">
              <w:marLeft w:val="0"/>
              <w:marRight w:val="0"/>
              <w:marTop w:val="0"/>
              <w:marBottom w:val="0"/>
              <w:divBdr>
                <w:top w:val="none" w:sz="0" w:space="0" w:color="auto"/>
                <w:left w:val="none" w:sz="0" w:space="0" w:color="auto"/>
                <w:bottom w:val="none" w:sz="0" w:space="0" w:color="auto"/>
                <w:right w:val="none" w:sz="0" w:space="0" w:color="auto"/>
              </w:divBdr>
            </w:div>
          </w:divsChild>
        </w:div>
        <w:div w:id="1688480324">
          <w:marLeft w:val="0"/>
          <w:marRight w:val="0"/>
          <w:marTop w:val="0"/>
          <w:marBottom w:val="0"/>
          <w:divBdr>
            <w:top w:val="none" w:sz="0" w:space="0" w:color="auto"/>
            <w:left w:val="none" w:sz="0" w:space="0" w:color="auto"/>
            <w:bottom w:val="none" w:sz="0" w:space="0" w:color="auto"/>
            <w:right w:val="none" w:sz="0" w:space="0" w:color="auto"/>
          </w:divBdr>
          <w:divsChild>
            <w:div w:id="1772044285">
              <w:marLeft w:val="75"/>
              <w:marRight w:val="150"/>
              <w:marTop w:val="45"/>
              <w:marBottom w:val="75"/>
              <w:divBdr>
                <w:top w:val="none" w:sz="0" w:space="0" w:color="auto"/>
                <w:left w:val="none" w:sz="0" w:space="0" w:color="auto"/>
                <w:bottom w:val="none" w:sz="0" w:space="0" w:color="auto"/>
                <w:right w:val="none" w:sz="0" w:space="0" w:color="auto"/>
              </w:divBdr>
            </w:div>
            <w:div w:id="1503621856">
              <w:marLeft w:val="300"/>
              <w:marRight w:val="150"/>
              <w:marTop w:val="75"/>
              <w:marBottom w:val="0"/>
              <w:divBdr>
                <w:top w:val="none" w:sz="0" w:space="0" w:color="auto"/>
                <w:left w:val="none" w:sz="0" w:space="0" w:color="auto"/>
                <w:bottom w:val="none" w:sz="0" w:space="0" w:color="auto"/>
                <w:right w:val="none" w:sz="0" w:space="0" w:color="auto"/>
              </w:divBdr>
            </w:div>
            <w:div w:id="697510981">
              <w:marLeft w:val="300"/>
              <w:marRight w:val="150"/>
              <w:marTop w:val="75"/>
              <w:marBottom w:val="0"/>
              <w:divBdr>
                <w:top w:val="none" w:sz="0" w:space="0" w:color="auto"/>
                <w:left w:val="none" w:sz="0" w:space="0" w:color="auto"/>
                <w:bottom w:val="none" w:sz="0" w:space="0" w:color="auto"/>
                <w:right w:val="none" w:sz="0" w:space="0" w:color="auto"/>
              </w:divBdr>
            </w:div>
          </w:divsChild>
        </w:div>
        <w:div w:id="371809542">
          <w:marLeft w:val="0"/>
          <w:marRight w:val="0"/>
          <w:marTop w:val="75"/>
          <w:marBottom w:val="150"/>
          <w:divBdr>
            <w:top w:val="none" w:sz="0" w:space="0" w:color="auto"/>
            <w:left w:val="none" w:sz="0" w:space="0" w:color="auto"/>
            <w:bottom w:val="none" w:sz="0" w:space="0" w:color="auto"/>
            <w:right w:val="none" w:sz="0" w:space="0" w:color="auto"/>
          </w:divBdr>
        </w:div>
      </w:divsChild>
    </w:div>
    <w:div w:id="1305694188">
      <w:bodyDiv w:val="1"/>
      <w:marLeft w:val="0"/>
      <w:marRight w:val="0"/>
      <w:marTop w:val="0"/>
      <w:marBottom w:val="0"/>
      <w:divBdr>
        <w:top w:val="none" w:sz="0" w:space="0" w:color="auto"/>
        <w:left w:val="none" w:sz="0" w:space="0" w:color="auto"/>
        <w:bottom w:val="none" w:sz="0" w:space="0" w:color="auto"/>
        <w:right w:val="none" w:sz="0" w:space="0" w:color="auto"/>
      </w:divBdr>
      <w:divsChild>
        <w:div w:id="1671591869">
          <w:marLeft w:val="0"/>
          <w:marRight w:val="0"/>
          <w:marTop w:val="150"/>
          <w:marBottom w:val="150"/>
          <w:divBdr>
            <w:top w:val="none" w:sz="0" w:space="0" w:color="auto"/>
            <w:left w:val="none" w:sz="0" w:space="0" w:color="auto"/>
            <w:bottom w:val="single" w:sz="6" w:space="0" w:color="CCCCCC"/>
            <w:right w:val="none" w:sz="0" w:space="0" w:color="auto"/>
          </w:divBdr>
          <w:divsChild>
            <w:div w:id="276372444">
              <w:marLeft w:val="0"/>
              <w:marRight w:val="0"/>
              <w:marTop w:val="0"/>
              <w:marBottom w:val="0"/>
              <w:divBdr>
                <w:top w:val="none" w:sz="0" w:space="0" w:color="auto"/>
                <w:left w:val="none" w:sz="0" w:space="0" w:color="auto"/>
                <w:bottom w:val="none" w:sz="0" w:space="0" w:color="auto"/>
                <w:right w:val="none" w:sz="0" w:space="0" w:color="auto"/>
              </w:divBdr>
            </w:div>
          </w:divsChild>
        </w:div>
        <w:div w:id="426776878">
          <w:marLeft w:val="0"/>
          <w:marRight w:val="0"/>
          <w:marTop w:val="0"/>
          <w:marBottom w:val="0"/>
          <w:divBdr>
            <w:top w:val="none" w:sz="0" w:space="0" w:color="auto"/>
            <w:left w:val="none" w:sz="0" w:space="0" w:color="auto"/>
            <w:bottom w:val="none" w:sz="0" w:space="0" w:color="auto"/>
            <w:right w:val="none" w:sz="0" w:space="0" w:color="auto"/>
          </w:divBdr>
          <w:divsChild>
            <w:div w:id="1199397348">
              <w:marLeft w:val="75"/>
              <w:marRight w:val="150"/>
              <w:marTop w:val="45"/>
              <w:marBottom w:val="75"/>
              <w:divBdr>
                <w:top w:val="none" w:sz="0" w:space="0" w:color="auto"/>
                <w:left w:val="none" w:sz="0" w:space="0" w:color="auto"/>
                <w:bottom w:val="none" w:sz="0" w:space="0" w:color="auto"/>
                <w:right w:val="none" w:sz="0" w:space="0" w:color="auto"/>
              </w:divBdr>
            </w:div>
            <w:div w:id="342820882">
              <w:marLeft w:val="300"/>
              <w:marRight w:val="150"/>
              <w:marTop w:val="75"/>
              <w:marBottom w:val="0"/>
              <w:divBdr>
                <w:top w:val="none" w:sz="0" w:space="0" w:color="auto"/>
                <w:left w:val="none" w:sz="0" w:space="0" w:color="auto"/>
                <w:bottom w:val="none" w:sz="0" w:space="0" w:color="auto"/>
                <w:right w:val="none" w:sz="0" w:space="0" w:color="auto"/>
              </w:divBdr>
            </w:div>
            <w:div w:id="788940335">
              <w:marLeft w:val="300"/>
              <w:marRight w:val="150"/>
              <w:marTop w:val="75"/>
              <w:marBottom w:val="0"/>
              <w:divBdr>
                <w:top w:val="none" w:sz="0" w:space="0" w:color="auto"/>
                <w:left w:val="none" w:sz="0" w:space="0" w:color="auto"/>
                <w:bottom w:val="none" w:sz="0" w:space="0" w:color="auto"/>
                <w:right w:val="none" w:sz="0" w:space="0" w:color="auto"/>
              </w:divBdr>
            </w:div>
          </w:divsChild>
        </w:div>
        <w:div w:id="1756168774">
          <w:marLeft w:val="0"/>
          <w:marRight w:val="0"/>
          <w:marTop w:val="75"/>
          <w:marBottom w:val="150"/>
          <w:divBdr>
            <w:top w:val="none" w:sz="0" w:space="0" w:color="auto"/>
            <w:left w:val="none" w:sz="0" w:space="0" w:color="auto"/>
            <w:bottom w:val="none" w:sz="0" w:space="0" w:color="auto"/>
            <w:right w:val="none" w:sz="0" w:space="0" w:color="auto"/>
          </w:divBdr>
          <w:divsChild>
            <w:div w:id="1275743870">
              <w:marLeft w:val="0"/>
              <w:marRight w:val="0"/>
              <w:marTop w:val="45"/>
              <w:marBottom w:val="0"/>
              <w:divBdr>
                <w:top w:val="none" w:sz="0" w:space="0" w:color="auto"/>
                <w:left w:val="single" w:sz="48" w:space="0" w:color="FFFFFF"/>
                <w:bottom w:val="single" w:sz="48" w:space="0" w:color="FFFFFF"/>
                <w:right w:val="none" w:sz="0" w:space="0" w:color="auto"/>
              </w:divBdr>
              <w:divsChild>
                <w:div w:id="1077554418">
                  <w:marLeft w:val="0"/>
                  <w:marRight w:val="0"/>
                  <w:marTop w:val="0"/>
                  <w:marBottom w:val="0"/>
                  <w:divBdr>
                    <w:top w:val="single" w:sz="6" w:space="4" w:color="CCCCCC"/>
                    <w:left w:val="single" w:sz="6" w:space="4" w:color="CCCCCC"/>
                    <w:bottom w:val="single" w:sz="6" w:space="8" w:color="CCCCCC"/>
                    <w:right w:val="single" w:sz="6" w:space="4" w:color="CCCCCC"/>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cgil.it/leggi-normative/documenti/decreti-presidente-della-repubblica/decreto-presidente-della-repubblica-81-del-20-marzo-2009-riorganizzazione-della-rete-scolastica.fl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lcgil.it/scuola/docenti/organici-scuola-2024-2025-confronto-al-ministero-sul-personale-docente.fl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lcgil.it/leggi-normative/documenti/decreti-ministeriali/decreto-ministeriale-33-del-26-febbraio-2024-organici-docenti-autorizzati-as-2024-2025-con-tabelle.flc" TargetMode="External"/><Relationship Id="rId11" Type="http://schemas.openxmlformats.org/officeDocument/2006/relationships/hyperlink" Target="https://www.flcgil.it/leggi-normative/documenti/note-ministeriali/nota-2244-del-26-marzo-2024-bonus-mamme-istruzioni-operative.flc" TargetMode="External"/><Relationship Id="rId5" Type="http://schemas.openxmlformats.org/officeDocument/2006/relationships/hyperlink" Target="https://www.flcgil.it/scuola/piano-ministro-valditara-sul-sostegno-conferma-docenti-su-richiesta-famiglie.flc" TargetMode="External"/><Relationship Id="rId10" Type="http://schemas.openxmlformats.org/officeDocument/2006/relationships/hyperlink" Target="https://iam.pubblica.istruzione.it/" TargetMode="External"/><Relationship Id="rId4" Type="http://schemas.openxmlformats.org/officeDocument/2006/relationships/webSettings" Target="webSettings.xml"/><Relationship Id="rId9" Type="http://schemas.openxmlformats.org/officeDocument/2006/relationships/hyperlink" Target="https://www.flcgil.it/leggi-normative/documenti/note-ministeriali/nota-2244-del-26-marzo-2024-bonus-mamme-istruzioni-operative.flc"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4</Pages>
  <Words>1831</Words>
  <Characters>10441</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FLC Cgil Imperia</dc:creator>
  <cp:keywords/>
  <dc:description/>
  <cp:lastModifiedBy>FLC Cgil Imperia</cp:lastModifiedBy>
  <cp:revision>2</cp:revision>
  <dcterms:created xsi:type="dcterms:W3CDTF">2024-03-28T10:04:00Z</dcterms:created>
  <dcterms:modified xsi:type="dcterms:W3CDTF">2024-03-29T10:14:00Z</dcterms:modified>
</cp:coreProperties>
</file>