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5BCE" w14:textId="77777777" w:rsidR="006A6D7B" w:rsidRPr="006A6D7B" w:rsidRDefault="006A6D7B" w:rsidP="006A6D7B">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6A6D7B">
        <w:rPr>
          <w:rFonts w:ascii="Tahoma" w:eastAsia="Times New Roman" w:hAnsi="Tahoma" w:cs="Tahoma"/>
          <w:color w:val="DC3B33"/>
          <w:kern w:val="36"/>
          <w:sz w:val="45"/>
          <w:szCs w:val="45"/>
          <w:lang w:eastAsia="it-IT"/>
          <w14:ligatures w14:val="none"/>
        </w:rPr>
        <w:t xml:space="preserve">Scuola, Fracassi (FLC CGIL): riforma </w:t>
      </w:r>
      <w:proofErr w:type="gramStart"/>
      <w:r w:rsidRPr="006A6D7B">
        <w:rPr>
          <w:rFonts w:ascii="Tahoma" w:eastAsia="Times New Roman" w:hAnsi="Tahoma" w:cs="Tahoma"/>
          <w:color w:val="DC3B33"/>
          <w:kern w:val="36"/>
          <w:sz w:val="45"/>
          <w:szCs w:val="45"/>
          <w:lang w:eastAsia="it-IT"/>
          <w14:ligatures w14:val="none"/>
        </w:rPr>
        <w:t>della secondaria primo passo</w:t>
      </w:r>
      <w:proofErr w:type="gramEnd"/>
      <w:r w:rsidRPr="006A6D7B">
        <w:rPr>
          <w:rFonts w:ascii="Tahoma" w:eastAsia="Times New Roman" w:hAnsi="Tahoma" w:cs="Tahoma"/>
          <w:color w:val="DC3B33"/>
          <w:kern w:val="36"/>
          <w:sz w:val="45"/>
          <w:szCs w:val="45"/>
          <w:lang w:eastAsia="it-IT"/>
          <w14:ligatures w14:val="none"/>
        </w:rPr>
        <w:t xml:space="preserve"> verso privatizzazione</w:t>
      </w:r>
    </w:p>
    <w:p w14:paraId="0BA2BCE4" w14:textId="77777777" w:rsidR="006A6D7B" w:rsidRPr="006A6D7B" w:rsidRDefault="006A6D7B" w:rsidP="006A6D7B">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6A6D7B">
        <w:rPr>
          <w:rFonts w:ascii="Arial" w:eastAsia="Times New Roman" w:hAnsi="Arial" w:cs="Arial"/>
          <w:color w:val="535353"/>
          <w:kern w:val="0"/>
          <w:sz w:val="27"/>
          <w:szCs w:val="27"/>
          <w:lang w:eastAsia="it-IT"/>
          <w14:ligatures w14:val="none"/>
        </w:rPr>
        <w:t>Comunicato stampa della Federazione Lavoratori della Conoscenza CGIL</w:t>
      </w:r>
    </w:p>
    <w:p w14:paraId="7D351C24" w14:textId="77777777" w:rsidR="006A6D7B" w:rsidRPr="006A6D7B" w:rsidRDefault="006A6D7B" w:rsidP="006A6D7B">
      <w:pPr>
        <w:shd w:val="clear" w:color="auto" w:fill="FFFFFF"/>
        <w:spacing w:after="0" w:line="240" w:lineRule="auto"/>
        <w:rPr>
          <w:rFonts w:ascii="Arial" w:eastAsia="Times New Roman" w:hAnsi="Arial" w:cs="Arial"/>
          <w:color w:val="4D4D4D"/>
          <w:kern w:val="0"/>
          <w:sz w:val="21"/>
          <w:szCs w:val="21"/>
          <w:lang w:eastAsia="it-IT"/>
          <w14:ligatures w14:val="none"/>
        </w:rPr>
      </w:pPr>
      <w:r w:rsidRPr="006A6D7B">
        <w:rPr>
          <w:rFonts w:ascii="Arial" w:eastAsia="Times New Roman" w:hAnsi="Arial" w:cs="Arial"/>
          <w:b/>
          <w:bCs/>
          <w:color w:val="4D4D4D"/>
          <w:kern w:val="0"/>
          <w:sz w:val="21"/>
          <w:szCs w:val="21"/>
          <w:lang w:eastAsia="it-IT"/>
          <w14:ligatures w14:val="none"/>
        </w:rPr>
        <w:t>31/01/2024</w:t>
      </w:r>
    </w:p>
    <w:p w14:paraId="2E1B371E" w14:textId="77777777" w:rsidR="006A6D7B" w:rsidRDefault="006A6D7B" w:rsidP="006A6D7B">
      <w:pPr>
        <w:shd w:val="clear" w:color="auto" w:fill="FFFFFF"/>
        <w:spacing w:after="150" w:line="240" w:lineRule="auto"/>
        <w:rPr>
          <w:rFonts w:ascii="Arial" w:eastAsia="Times New Roman" w:hAnsi="Arial" w:cs="Arial"/>
          <w:color w:val="000000"/>
          <w:kern w:val="0"/>
          <w:sz w:val="21"/>
          <w:szCs w:val="21"/>
          <w:lang w:eastAsia="it-IT"/>
          <w14:ligatures w14:val="none"/>
        </w:rPr>
      </w:pPr>
    </w:p>
    <w:p w14:paraId="070B8367" w14:textId="64ABCE6E" w:rsidR="006A6D7B" w:rsidRPr="006A6D7B" w:rsidRDefault="006A6D7B" w:rsidP="006A6D7B">
      <w:pPr>
        <w:shd w:val="clear" w:color="auto" w:fill="FFFFFF"/>
        <w:spacing w:after="150" w:line="240" w:lineRule="auto"/>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Roma, 31 gennaio - Dopo una serie di imbarazzanti sospensioni per mancanza del numero legale, il Senato ha approvato la riforma Valditara sulla costituzione della filiera tecnologico-professionale per la scuola secondaria di secondo grado, il sistema di formazione professionale e gli ITS.</w:t>
      </w:r>
      <w:r w:rsidRPr="006A6D7B">
        <w:rPr>
          <w:rFonts w:ascii="Arial" w:eastAsia="Times New Roman" w:hAnsi="Arial" w:cs="Arial"/>
          <w:color w:val="000000"/>
          <w:kern w:val="0"/>
          <w:sz w:val="21"/>
          <w:szCs w:val="21"/>
          <w:lang w:eastAsia="it-IT"/>
          <w14:ligatures w14:val="none"/>
        </w:rPr>
        <w:br/>
      </w:r>
      <w:r w:rsidRPr="006A6D7B">
        <w:rPr>
          <w:rFonts w:ascii="Arial" w:eastAsia="Times New Roman" w:hAnsi="Arial" w:cs="Arial"/>
          <w:color w:val="000000"/>
          <w:kern w:val="0"/>
          <w:sz w:val="21"/>
          <w:szCs w:val="21"/>
          <w:lang w:eastAsia="it-IT"/>
          <w14:ligatures w14:val="none"/>
        </w:rPr>
        <w:br/>
        <w:t>La segretaria generale della FLC CGIL, </w:t>
      </w:r>
      <w:r w:rsidRPr="006A6D7B">
        <w:rPr>
          <w:rFonts w:ascii="Arial" w:eastAsia="Times New Roman" w:hAnsi="Arial" w:cs="Arial"/>
          <w:b/>
          <w:bCs/>
          <w:color w:val="000000"/>
          <w:kern w:val="0"/>
          <w:sz w:val="21"/>
          <w:szCs w:val="21"/>
          <w:lang w:eastAsia="it-IT"/>
          <w14:ligatures w14:val="none"/>
        </w:rPr>
        <w:t>Gianna Fracassi</w:t>
      </w:r>
      <w:r w:rsidRPr="006A6D7B">
        <w:rPr>
          <w:rFonts w:ascii="Arial" w:eastAsia="Times New Roman" w:hAnsi="Arial" w:cs="Arial"/>
          <w:color w:val="000000"/>
          <w:kern w:val="0"/>
          <w:sz w:val="21"/>
          <w:szCs w:val="21"/>
          <w:lang w:eastAsia="it-IT"/>
          <w14:ligatures w14:val="none"/>
        </w:rPr>
        <w:t>, commenta: “È il primo passo verso la privatizzazione del sistema pubblico di istruzione: ingresso di esperti privati al posto dei docenti, riduzione di un anno del percorso, cancellazione delle prerogative degli organi collegiali nella definizione dei curricoli, limitazione della libertà di insegnamento e alternanza scuola lavoro a partire dai 15 anni. Un’impostazione classista e ideologica finalizzata a segregare soprattutto le classi sociali più svantaggiate. Non c’è cultura del lavoro in questo provvedimento, ma la sostituzione dell’istruzione con l’addestramento professionale”.</w:t>
      </w:r>
      <w:r w:rsidRPr="006A6D7B">
        <w:rPr>
          <w:rFonts w:ascii="Arial" w:eastAsia="Times New Roman" w:hAnsi="Arial" w:cs="Arial"/>
          <w:color w:val="000000"/>
          <w:kern w:val="0"/>
          <w:sz w:val="21"/>
          <w:szCs w:val="21"/>
          <w:lang w:eastAsia="it-IT"/>
          <w14:ligatures w14:val="none"/>
        </w:rPr>
        <w:br/>
      </w:r>
      <w:r w:rsidRPr="006A6D7B">
        <w:rPr>
          <w:rFonts w:ascii="Arial" w:eastAsia="Times New Roman" w:hAnsi="Arial" w:cs="Arial"/>
          <w:color w:val="000000"/>
          <w:kern w:val="0"/>
          <w:sz w:val="21"/>
          <w:szCs w:val="21"/>
          <w:lang w:eastAsia="it-IT"/>
          <w14:ligatures w14:val="none"/>
        </w:rPr>
        <w:br/>
        <w:t xml:space="preserve"> “Credo sia evidente la povertà culturale che ispira questo disegno di legge e la distanza abissale rispetto alle sfide economiche di sviluppo che il nostro Paese e tutto il mondo devono affrontare e che richiedono livelli di istruzione più elevati. </w:t>
      </w:r>
      <w:proofErr w:type="gramStart"/>
      <w:r w:rsidRPr="006A6D7B">
        <w:rPr>
          <w:rFonts w:ascii="Arial" w:eastAsia="Times New Roman" w:hAnsi="Arial" w:cs="Arial"/>
          <w:color w:val="000000"/>
          <w:kern w:val="0"/>
          <w:sz w:val="21"/>
          <w:szCs w:val="21"/>
          <w:lang w:eastAsia="it-IT"/>
          <w14:ligatures w14:val="none"/>
        </w:rPr>
        <w:t>E’</w:t>
      </w:r>
      <w:proofErr w:type="gramEnd"/>
      <w:r w:rsidRPr="006A6D7B">
        <w:rPr>
          <w:rFonts w:ascii="Arial" w:eastAsia="Times New Roman" w:hAnsi="Arial" w:cs="Arial"/>
          <w:color w:val="000000"/>
          <w:kern w:val="0"/>
          <w:sz w:val="21"/>
          <w:szCs w:val="21"/>
          <w:lang w:eastAsia="it-IT"/>
          <w14:ligatures w14:val="none"/>
        </w:rPr>
        <w:t xml:space="preserve"> evidente – sottolinea la dirigente sindacale - la scelta di predisporre le basi per la prospettiva rappresentata dalla scuola regionale contenuta nel </w:t>
      </w:r>
      <w:proofErr w:type="spellStart"/>
      <w:r w:rsidRPr="006A6D7B">
        <w:rPr>
          <w:rFonts w:ascii="Arial" w:eastAsia="Times New Roman" w:hAnsi="Arial" w:cs="Arial"/>
          <w:color w:val="000000"/>
          <w:kern w:val="0"/>
          <w:sz w:val="21"/>
          <w:szCs w:val="21"/>
          <w:lang w:eastAsia="it-IT"/>
          <w14:ligatures w14:val="none"/>
        </w:rPr>
        <w:t>ddl</w:t>
      </w:r>
      <w:proofErr w:type="spellEnd"/>
      <w:r w:rsidRPr="006A6D7B">
        <w:rPr>
          <w:rFonts w:ascii="Arial" w:eastAsia="Times New Roman" w:hAnsi="Arial" w:cs="Arial"/>
          <w:color w:val="000000"/>
          <w:kern w:val="0"/>
          <w:sz w:val="21"/>
          <w:szCs w:val="21"/>
          <w:lang w:eastAsia="it-IT"/>
          <w14:ligatures w14:val="none"/>
        </w:rPr>
        <w:t xml:space="preserve"> sull’autonomia differenziata”.</w:t>
      </w:r>
      <w:r w:rsidRPr="006A6D7B">
        <w:rPr>
          <w:rFonts w:ascii="Arial" w:eastAsia="Times New Roman" w:hAnsi="Arial" w:cs="Arial"/>
          <w:color w:val="000000"/>
          <w:kern w:val="0"/>
          <w:sz w:val="21"/>
          <w:szCs w:val="21"/>
          <w:lang w:eastAsia="it-IT"/>
          <w14:ligatures w14:val="none"/>
        </w:rPr>
        <w:br/>
      </w:r>
      <w:r w:rsidRPr="006A6D7B">
        <w:rPr>
          <w:rFonts w:ascii="Arial" w:eastAsia="Times New Roman" w:hAnsi="Arial" w:cs="Arial"/>
          <w:color w:val="000000"/>
          <w:kern w:val="0"/>
          <w:sz w:val="21"/>
          <w:szCs w:val="21"/>
          <w:lang w:eastAsia="it-IT"/>
          <w14:ligatures w14:val="none"/>
        </w:rPr>
        <w:br/>
        <w:t>“Si tratta di una riforma bocciata già nei fatti dalla scarsissima adesione alla anticipata sperimentazione delle scuole, spesso frutto di improprie pressioni e bocciata anche dal Consiglio superiore della Pubblica Istruzione. Adesso la parola passa alla Camera, ma la FLC CGIL non si fermerà nel contrasto ad un provvedimento dannoso per la scuola e ingiusto per i ragazzi e le ragazze del nostro Paese”. Conclude Fracassi.</w:t>
      </w:r>
    </w:p>
    <w:p w14:paraId="0F4AC3D7" w14:textId="77777777" w:rsidR="006A6D7B" w:rsidRPr="006A6D7B" w:rsidRDefault="006A6D7B" w:rsidP="006A6D7B">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6A6D7B">
        <w:rPr>
          <w:rFonts w:ascii="Tahoma" w:eastAsia="Times New Roman" w:hAnsi="Tahoma" w:cs="Tahoma"/>
          <w:color w:val="DC3B33"/>
          <w:kern w:val="36"/>
          <w:sz w:val="45"/>
          <w:szCs w:val="45"/>
          <w:lang w:eastAsia="it-IT"/>
          <w14:ligatures w14:val="none"/>
        </w:rPr>
        <w:t>Filiera Tecnologico professionale: approvato il DDL 924 in Senato</w:t>
      </w:r>
    </w:p>
    <w:p w14:paraId="4247C38E" w14:textId="77777777" w:rsidR="006A6D7B" w:rsidRPr="006A6D7B" w:rsidRDefault="006A6D7B" w:rsidP="006A6D7B">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6A6D7B">
        <w:rPr>
          <w:rFonts w:ascii="Arial" w:eastAsia="Times New Roman" w:hAnsi="Arial" w:cs="Arial"/>
          <w:color w:val="535353"/>
          <w:kern w:val="0"/>
          <w:sz w:val="27"/>
          <w:szCs w:val="27"/>
          <w:lang w:eastAsia="it-IT"/>
          <w14:ligatures w14:val="none"/>
        </w:rPr>
        <w:t>Tra emendamenti improvvisati e mancanza del numero legale, il Senato licenzia un testo confuso, degna conclusione di un provvedimento già nato male.</w:t>
      </w:r>
    </w:p>
    <w:p w14:paraId="5625FE1E" w14:textId="77777777" w:rsidR="006A6D7B" w:rsidRPr="006A6D7B" w:rsidRDefault="006A6D7B" w:rsidP="006A6D7B">
      <w:pPr>
        <w:shd w:val="clear" w:color="auto" w:fill="FFFFFF"/>
        <w:spacing w:after="0" w:line="240" w:lineRule="auto"/>
        <w:rPr>
          <w:rFonts w:ascii="Arial" w:eastAsia="Times New Roman" w:hAnsi="Arial" w:cs="Arial"/>
          <w:color w:val="4D4D4D"/>
          <w:kern w:val="0"/>
          <w:sz w:val="21"/>
          <w:szCs w:val="21"/>
          <w:lang w:eastAsia="it-IT"/>
          <w14:ligatures w14:val="none"/>
        </w:rPr>
      </w:pPr>
      <w:r w:rsidRPr="006A6D7B">
        <w:rPr>
          <w:rFonts w:ascii="Arial" w:eastAsia="Times New Roman" w:hAnsi="Arial" w:cs="Arial"/>
          <w:b/>
          <w:bCs/>
          <w:color w:val="4D4D4D"/>
          <w:kern w:val="0"/>
          <w:sz w:val="21"/>
          <w:szCs w:val="21"/>
          <w:lang w:eastAsia="it-IT"/>
          <w14:ligatures w14:val="none"/>
        </w:rPr>
        <w:t>31/01/2024</w:t>
      </w:r>
    </w:p>
    <w:p w14:paraId="2EA62363" w14:textId="77777777" w:rsid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7201319B" w14:textId="07A3B6BD"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Il 31 gennaio 2024 con il prevedibile voto favorevole dell’Assemblea si è concluso l’iter in Senato del DDL AS 924 sulla filiera tecnologico-professionale il cui testo era stato </w:t>
      </w:r>
      <w:hyperlink r:id="rId5" w:tgtFrame="_blank" w:history="1">
        <w:r w:rsidRPr="006A6D7B">
          <w:rPr>
            <w:rFonts w:ascii="Arial" w:eastAsia="Times New Roman" w:hAnsi="Arial" w:cs="Arial"/>
            <w:color w:val="005EB3"/>
            <w:kern w:val="0"/>
            <w:sz w:val="21"/>
            <w:szCs w:val="21"/>
            <w:lang w:eastAsia="it-IT"/>
            <w14:ligatures w14:val="none"/>
          </w:rPr>
          <w:t>presentato</w:t>
        </w:r>
      </w:hyperlink>
      <w:r w:rsidRPr="006A6D7B">
        <w:rPr>
          <w:rFonts w:ascii="Arial" w:eastAsia="Times New Roman" w:hAnsi="Arial" w:cs="Arial"/>
          <w:color w:val="000000"/>
          <w:kern w:val="0"/>
          <w:sz w:val="21"/>
          <w:szCs w:val="21"/>
          <w:lang w:eastAsia="it-IT"/>
          <w14:ligatures w14:val="none"/>
        </w:rPr>
        <w:t> al Senato il 27 ottobre 2023 e assegnato alla VII Commissione permanente (Cultura e patrimonio culturale, istruzione pubblica) che, frettolosamente, aveva </w:t>
      </w:r>
      <w:hyperlink r:id="rId6" w:tgtFrame="_blank" w:history="1">
        <w:r w:rsidRPr="006A6D7B">
          <w:rPr>
            <w:rFonts w:ascii="Arial" w:eastAsia="Times New Roman" w:hAnsi="Arial" w:cs="Arial"/>
            <w:color w:val="005EB3"/>
            <w:kern w:val="0"/>
            <w:sz w:val="21"/>
            <w:szCs w:val="21"/>
            <w:lang w:eastAsia="it-IT"/>
            <w14:ligatures w14:val="none"/>
          </w:rPr>
          <w:t xml:space="preserve">concluso l’esame del </w:t>
        </w:r>
        <w:proofErr w:type="spellStart"/>
        <w:r w:rsidRPr="006A6D7B">
          <w:rPr>
            <w:rFonts w:ascii="Arial" w:eastAsia="Times New Roman" w:hAnsi="Arial" w:cs="Arial"/>
            <w:color w:val="005EB3"/>
            <w:kern w:val="0"/>
            <w:sz w:val="21"/>
            <w:szCs w:val="21"/>
            <w:lang w:eastAsia="it-IT"/>
            <w14:ligatures w14:val="none"/>
          </w:rPr>
          <w:t>ddl</w:t>
        </w:r>
        <w:proofErr w:type="spellEnd"/>
        <w:r w:rsidRPr="006A6D7B">
          <w:rPr>
            <w:rFonts w:ascii="Arial" w:eastAsia="Times New Roman" w:hAnsi="Arial" w:cs="Arial"/>
            <w:color w:val="005EB3"/>
            <w:kern w:val="0"/>
            <w:sz w:val="21"/>
            <w:szCs w:val="21"/>
            <w:lang w:eastAsia="it-IT"/>
            <w14:ligatures w14:val="none"/>
          </w:rPr>
          <w:t xml:space="preserve"> il 21 dicembre</w:t>
        </w:r>
      </w:hyperlink>
      <w:r w:rsidRPr="006A6D7B">
        <w:rPr>
          <w:rFonts w:ascii="Arial" w:eastAsia="Times New Roman" w:hAnsi="Arial" w:cs="Arial"/>
          <w:color w:val="000000"/>
          <w:kern w:val="0"/>
          <w:sz w:val="21"/>
          <w:szCs w:val="21"/>
          <w:lang w:eastAsia="it-IT"/>
          <w14:ligatures w14:val="none"/>
        </w:rPr>
        <w:t> scorso. Il 31 gennaio, quindi, il Senato, in una convulsa Assemblea, ha dato il via libera al testo per la Camera.</w:t>
      </w:r>
    </w:p>
    <w:p w14:paraId="32D90E08"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La senatrice Carmela Bucalo, componente della VII Commissione permanente e membro di Fratelli d’Italia, ha presentato la relazione introduttiva cui hanno fatto seguito le repliche dei senatori Crisanti (PD-IDP), la senatrice Aloisio (M5S), Malpezzi (PD-IDP), Pirondini (M5S), Paganella (LSP-</w:t>
      </w:r>
      <w:proofErr w:type="spellStart"/>
      <w:r w:rsidRPr="006A6D7B">
        <w:rPr>
          <w:rFonts w:ascii="Arial" w:eastAsia="Times New Roman" w:hAnsi="Arial" w:cs="Arial"/>
          <w:color w:val="000000"/>
          <w:kern w:val="0"/>
          <w:sz w:val="21"/>
          <w:szCs w:val="21"/>
          <w:lang w:eastAsia="it-IT"/>
          <w14:ligatures w14:val="none"/>
        </w:rPr>
        <w:t>PSd'Az</w:t>
      </w:r>
      <w:proofErr w:type="spellEnd"/>
      <w:r w:rsidRPr="006A6D7B">
        <w:rPr>
          <w:rFonts w:ascii="Arial" w:eastAsia="Times New Roman" w:hAnsi="Arial" w:cs="Arial"/>
          <w:color w:val="000000"/>
          <w:kern w:val="0"/>
          <w:sz w:val="21"/>
          <w:szCs w:val="21"/>
          <w:lang w:eastAsia="it-IT"/>
          <w14:ligatures w14:val="none"/>
        </w:rPr>
        <w:t>), Verducci (PD-IDP), Amidei (</w:t>
      </w:r>
      <w:proofErr w:type="spellStart"/>
      <w:r w:rsidRPr="006A6D7B">
        <w:rPr>
          <w:rFonts w:ascii="Arial" w:eastAsia="Times New Roman" w:hAnsi="Arial" w:cs="Arial"/>
          <w:color w:val="000000"/>
          <w:kern w:val="0"/>
          <w:sz w:val="21"/>
          <w:szCs w:val="21"/>
          <w:lang w:eastAsia="it-IT"/>
          <w14:ligatures w14:val="none"/>
        </w:rPr>
        <w:t>FdI</w:t>
      </w:r>
      <w:proofErr w:type="spellEnd"/>
      <w:r w:rsidRPr="006A6D7B">
        <w:rPr>
          <w:rFonts w:ascii="Arial" w:eastAsia="Times New Roman" w:hAnsi="Arial" w:cs="Arial"/>
          <w:color w:val="000000"/>
          <w:kern w:val="0"/>
          <w:sz w:val="21"/>
          <w:szCs w:val="21"/>
          <w:lang w:eastAsia="it-IT"/>
          <w14:ligatures w14:val="none"/>
        </w:rPr>
        <w:t>) (</w:t>
      </w:r>
      <w:hyperlink r:id="rId7" w:tgtFrame="_blank" w:history="1">
        <w:r w:rsidRPr="006A6D7B">
          <w:rPr>
            <w:rFonts w:ascii="Arial" w:eastAsia="Times New Roman" w:hAnsi="Arial" w:cs="Arial"/>
            <w:color w:val="005EB3"/>
            <w:kern w:val="0"/>
            <w:sz w:val="21"/>
            <w:szCs w:val="21"/>
            <w:lang w:eastAsia="it-IT"/>
            <w14:ligatures w14:val="none"/>
          </w:rPr>
          <w:t>tutti questi passaggi sono consultabili qui</w:t>
        </w:r>
      </w:hyperlink>
      <w:r w:rsidRPr="006A6D7B">
        <w:rPr>
          <w:rFonts w:ascii="Arial" w:eastAsia="Times New Roman" w:hAnsi="Arial" w:cs="Arial"/>
          <w:color w:val="000000"/>
          <w:kern w:val="0"/>
          <w:sz w:val="21"/>
          <w:szCs w:val="21"/>
          <w:lang w:eastAsia="it-IT"/>
          <w14:ligatures w14:val="none"/>
        </w:rPr>
        <w:t>).</w:t>
      </w:r>
    </w:p>
    <w:p w14:paraId="4BFC1329"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Degli emendamenti presentati oggi in Assemblea, tutti quelli delle opposizioni sono stati respinti, compreso un emendamento che, in particolare, aveva ricevuto anche il parere favorevole della stessa Commissione Bilancio perché prevedeva la stipula di contratti di prestazione d’opera per attività di insegnamento e di formazione con soggetti del sistema delle imprese e delle professioni in subordine alla individuazione di personale docente attinto previa convocazione da graduatorie GAE, GPS, GI.</w:t>
      </w:r>
    </w:p>
    <w:p w14:paraId="2077E5F6"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lastRenderedPageBreak/>
        <w:t xml:space="preserve">Altri emendamenti, presentati dalla stessa relatrice, sono stati letteralmente improvvisati in aula determinando una situazione paradossale di confusione istituzionale tra emendamenti approvati e altre modifiche che hanno richiesto ulteriori e tardive modifiche a discussione sugli emendamenti conclusa e che, al memento della votazione, ha richiesto una lunga sospensione della seduta per mancanza del numero legale, degna conclusione di un </w:t>
      </w:r>
      <w:proofErr w:type="spellStart"/>
      <w:r w:rsidRPr="006A6D7B">
        <w:rPr>
          <w:rFonts w:ascii="Arial" w:eastAsia="Times New Roman" w:hAnsi="Arial" w:cs="Arial"/>
          <w:color w:val="000000"/>
          <w:kern w:val="0"/>
          <w:sz w:val="21"/>
          <w:szCs w:val="21"/>
          <w:lang w:eastAsia="it-IT"/>
          <w14:ligatures w14:val="none"/>
        </w:rPr>
        <w:t>ddl</w:t>
      </w:r>
      <w:proofErr w:type="spellEnd"/>
      <w:r w:rsidRPr="006A6D7B">
        <w:rPr>
          <w:rFonts w:ascii="Arial" w:eastAsia="Times New Roman" w:hAnsi="Arial" w:cs="Arial"/>
          <w:color w:val="000000"/>
          <w:kern w:val="0"/>
          <w:sz w:val="21"/>
          <w:szCs w:val="21"/>
          <w:lang w:eastAsia="it-IT"/>
          <w14:ligatures w14:val="none"/>
        </w:rPr>
        <w:t xml:space="preserve"> che, per le modalità frettolose con cui è stato presentato, non doveva assolutamente prendere corpo.  </w:t>
      </w:r>
    </w:p>
    <w:p w14:paraId="32BDCE95"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Ora proseguirà l’iter parlamentare con il passaggio alla Camera del “contorto” testo licenziato oggi in Senato. Noi continueremo a tenere alta l’attenzione e l’opposizione verso un progetto di legge che abbiamo avversato </w:t>
      </w:r>
      <w:hyperlink r:id="rId8" w:tgtFrame="_blank" w:history="1">
        <w:r w:rsidRPr="006A6D7B">
          <w:rPr>
            <w:rFonts w:ascii="Arial" w:eastAsia="Times New Roman" w:hAnsi="Arial" w:cs="Arial"/>
            <w:color w:val="005EB3"/>
            <w:kern w:val="0"/>
            <w:sz w:val="21"/>
            <w:szCs w:val="21"/>
            <w:lang w:eastAsia="it-IT"/>
            <w14:ligatures w14:val="none"/>
          </w:rPr>
          <w:t>sin dal suo esordio</w:t>
        </w:r>
      </w:hyperlink>
      <w:r w:rsidRPr="006A6D7B">
        <w:rPr>
          <w:rFonts w:ascii="Arial" w:eastAsia="Times New Roman" w:hAnsi="Arial" w:cs="Arial"/>
          <w:color w:val="000000"/>
          <w:kern w:val="0"/>
          <w:sz w:val="21"/>
          <w:szCs w:val="21"/>
          <w:lang w:eastAsia="it-IT"/>
          <w14:ligatures w14:val="none"/>
        </w:rPr>
        <w:t> completamente calato dall'alto, </w:t>
      </w:r>
      <w:hyperlink r:id="rId9" w:tgtFrame="_blank" w:history="1">
        <w:r w:rsidRPr="006A6D7B">
          <w:rPr>
            <w:rFonts w:ascii="Arial" w:eastAsia="Times New Roman" w:hAnsi="Arial" w:cs="Arial"/>
            <w:color w:val="005EB3"/>
            <w:kern w:val="0"/>
            <w:sz w:val="21"/>
            <w:szCs w:val="21"/>
            <w:lang w:eastAsia="it-IT"/>
            <w14:ligatures w14:val="none"/>
          </w:rPr>
          <w:t>bocciato anche</w:t>
        </w:r>
      </w:hyperlink>
      <w:r w:rsidRPr="006A6D7B">
        <w:rPr>
          <w:rFonts w:ascii="Arial" w:eastAsia="Times New Roman" w:hAnsi="Arial" w:cs="Arial"/>
          <w:color w:val="000000"/>
          <w:kern w:val="0"/>
          <w:sz w:val="21"/>
          <w:szCs w:val="21"/>
          <w:lang w:eastAsia="it-IT"/>
          <w14:ligatures w14:val="none"/>
        </w:rPr>
        <w:t> dal Consiglio superiore della pubblica istruzione, </w:t>
      </w:r>
      <w:hyperlink r:id="rId10" w:tgtFrame="_blank" w:history="1">
        <w:r w:rsidRPr="006A6D7B">
          <w:rPr>
            <w:rFonts w:ascii="Arial" w:eastAsia="Times New Roman" w:hAnsi="Arial" w:cs="Arial"/>
            <w:color w:val="005EB3"/>
            <w:kern w:val="0"/>
            <w:sz w:val="21"/>
            <w:szCs w:val="21"/>
            <w:u w:val="single"/>
            <w:bdr w:val="none" w:sz="0" w:space="0" w:color="auto" w:frame="1"/>
            <w:lang w:eastAsia="it-IT"/>
            <w14:ligatures w14:val="none"/>
          </w:rPr>
          <w:t>bocciato dai collegi dei docenti</w:t>
        </w:r>
      </w:hyperlink>
      <w:r w:rsidRPr="006A6D7B">
        <w:rPr>
          <w:rFonts w:ascii="Arial" w:eastAsia="Times New Roman" w:hAnsi="Arial" w:cs="Arial"/>
          <w:color w:val="000000"/>
          <w:kern w:val="0"/>
          <w:sz w:val="21"/>
          <w:szCs w:val="21"/>
          <w:lang w:eastAsia="it-IT"/>
          <w14:ligatures w14:val="none"/>
        </w:rPr>
        <w:t> e dagli organi collegiali nella sua versione “sperimentale” introdotta con un frettoloso decreto ministeriale, il DM 240 del 7 dicembre 2023, che ha </w:t>
      </w:r>
      <w:hyperlink r:id="rId11" w:tgtFrame="_blank" w:history="1">
        <w:r w:rsidRPr="006A6D7B">
          <w:rPr>
            <w:rFonts w:ascii="Arial" w:eastAsia="Times New Roman" w:hAnsi="Arial" w:cs="Arial"/>
            <w:color w:val="005EB3"/>
            <w:kern w:val="0"/>
            <w:sz w:val="21"/>
            <w:szCs w:val="21"/>
            <w:lang w:eastAsia="it-IT"/>
            <w14:ligatures w14:val="none"/>
          </w:rPr>
          <w:t>aumentato il contenzioso nelle scuole</w:t>
        </w:r>
      </w:hyperlink>
      <w:r w:rsidRPr="006A6D7B">
        <w:rPr>
          <w:rFonts w:ascii="Arial" w:eastAsia="Times New Roman" w:hAnsi="Arial" w:cs="Arial"/>
          <w:color w:val="000000"/>
          <w:kern w:val="0"/>
          <w:sz w:val="21"/>
          <w:szCs w:val="21"/>
          <w:lang w:eastAsia="it-IT"/>
          <w14:ligatures w14:val="none"/>
        </w:rPr>
        <w:t>, che riduce il tempo scuola, riduce la qualità degli apprendimenti e favorisce l’ingresso dei privati nella scuola.</w:t>
      </w:r>
    </w:p>
    <w:p w14:paraId="783E03DD" w14:textId="77777777" w:rsidR="006A6D7B" w:rsidRPr="006A6D7B" w:rsidRDefault="006A6D7B" w:rsidP="006A6D7B">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6A6D7B">
        <w:rPr>
          <w:rFonts w:ascii="Tahoma" w:eastAsia="Times New Roman" w:hAnsi="Tahoma" w:cs="Tahoma"/>
          <w:color w:val="DC3B33"/>
          <w:kern w:val="36"/>
          <w:sz w:val="45"/>
          <w:szCs w:val="45"/>
          <w:lang w:eastAsia="it-IT"/>
          <w14:ligatures w14:val="none"/>
        </w:rPr>
        <w:t>“Stesso Paese, stessi diritti”: Liguria, dal 9 al 13 febbraio la carovana FLC CGIL contro l’autonomia differenziata</w:t>
      </w:r>
    </w:p>
    <w:p w14:paraId="7E272A52" w14:textId="77777777" w:rsidR="006A6D7B" w:rsidRPr="006A6D7B" w:rsidRDefault="006A6D7B" w:rsidP="006A6D7B">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6A6D7B">
        <w:rPr>
          <w:rFonts w:ascii="Arial" w:eastAsia="Times New Roman" w:hAnsi="Arial" w:cs="Arial"/>
          <w:color w:val="535353"/>
          <w:kern w:val="0"/>
          <w:sz w:val="27"/>
          <w:szCs w:val="27"/>
          <w:lang w:eastAsia="it-IT"/>
          <w14:ligatures w14:val="none"/>
        </w:rPr>
        <w:t>FLC CGIL Liguria: “Siamo profondamente contrari al disegno di Legge Calderoli approvato dal Senato. L’istruzione, diritto garantito dalla Carta Costituzionale, deve essere una su tutto il territorio nazionale”</w:t>
      </w:r>
    </w:p>
    <w:p w14:paraId="3F8F8180" w14:textId="77777777" w:rsidR="006A6D7B" w:rsidRPr="006A6D7B" w:rsidRDefault="006A6D7B" w:rsidP="006A6D7B">
      <w:pPr>
        <w:shd w:val="clear" w:color="auto" w:fill="FFFFFF"/>
        <w:spacing w:after="0" w:line="240" w:lineRule="auto"/>
        <w:rPr>
          <w:rFonts w:ascii="Arial" w:eastAsia="Times New Roman" w:hAnsi="Arial" w:cs="Arial"/>
          <w:color w:val="4D4D4D"/>
          <w:kern w:val="0"/>
          <w:sz w:val="21"/>
          <w:szCs w:val="21"/>
          <w:lang w:eastAsia="it-IT"/>
          <w14:ligatures w14:val="none"/>
        </w:rPr>
      </w:pPr>
      <w:r w:rsidRPr="006A6D7B">
        <w:rPr>
          <w:rFonts w:ascii="Arial" w:eastAsia="Times New Roman" w:hAnsi="Arial" w:cs="Arial"/>
          <w:b/>
          <w:bCs/>
          <w:color w:val="4D4D4D"/>
          <w:kern w:val="0"/>
          <w:sz w:val="21"/>
          <w:szCs w:val="21"/>
          <w:lang w:eastAsia="it-IT"/>
          <w14:ligatures w14:val="none"/>
        </w:rPr>
        <w:t>01/02/2024</w:t>
      </w:r>
    </w:p>
    <w:p w14:paraId="6D41577F" w14:textId="77777777" w:rsidR="006A6D7B" w:rsidRDefault="006A6D7B" w:rsidP="006A6D7B">
      <w:pPr>
        <w:shd w:val="clear" w:color="auto" w:fill="FFFFFF"/>
        <w:spacing w:after="225" w:line="240" w:lineRule="auto"/>
        <w:jc w:val="both"/>
        <w:rPr>
          <w:rFonts w:ascii="Arial" w:eastAsia="Times New Roman" w:hAnsi="Arial" w:cs="Arial"/>
          <w:i/>
          <w:iCs/>
          <w:color w:val="000000"/>
          <w:kern w:val="0"/>
          <w:sz w:val="21"/>
          <w:szCs w:val="21"/>
          <w:lang w:eastAsia="it-IT"/>
          <w14:ligatures w14:val="none"/>
        </w:rPr>
      </w:pPr>
    </w:p>
    <w:p w14:paraId="05B0C8C6" w14:textId="668A9349"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i/>
          <w:iCs/>
          <w:color w:val="000000"/>
          <w:kern w:val="0"/>
          <w:sz w:val="21"/>
          <w:szCs w:val="21"/>
          <w:lang w:eastAsia="it-IT"/>
          <w14:ligatures w14:val="none"/>
        </w:rPr>
        <w:t>A cura della FLC CGIL e CGIL Liguria</w:t>
      </w:r>
    </w:p>
    <w:p w14:paraId="6A131018"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Arriva in </w:t>
      </w:r>
      <w:r w:rsidRPr="006A6D7B">
        <w:rPr>
          <w:rFonts w:ascii="Arial" w:eastAsia="Times New Roman" w:hAnsi="Arial" w:cs="Arial"/>
          <w:b/>
          <w:bCs/>
          <w:color w:val="000000"/>
          <w:kern w:val="0"/>
          <w:sz w:val="21"/>
          <w:szCs w:val="21"/>
          <w:lang w:eastAsia="it-IT"/>
          <w14:ligatures w14:val="none"/>
        </w:rPr>
        <w:t>Liguria</w:t>
      </w:r>
      <w:r w:rsidRPr="006A6D7B">
        <w:rPr>
          <w:rFonts w:ascii="Arial" w:eastAsia="Times New Roman" w:hAnsi="Arial" w:cs="Arial"/>
          <w:color w:val="000000"/>
          <w:kern w:val="0"/>
          <w:sz w:val="21"/>
          <w:szCs w:val="21"/>
          <w:lang w:eastAsia="it-IT"/>
          <w14:ligatures w14:val="none"/>
        </w:rPr>
        <w:t> la </w:t>
      </w:r>
      <w:hyperlink r:id="rId12" w:tgtFrame="_blank" w:history="1">
        <w:r w:rsidRPr="006A6D7B">
          <w:rPr>
            <w:rFonts w:ascii="Arial" w:eastAsia="Times New Roman" w:hAnsi="Arial" w:cs="Arial"/>
            <w:color w:val="005EB3"/>
            <w:kern w:val="0"/>
            <w:sz w:val="21"/>
            <w:szCs w:val="21"/>
            <w:lang w:eastAsia="it-IT"/>
            <w14:ligatures w14:val="none"/>
          </w:rPr>
          <w:t>carovana dei diritti</w:t>
        </w:r>
      </w:hyperlink>
      <w:r w:rsidRPr="006A6D7B">
        <w:rPr>
          <w:rFonts w:ascii="Arial" w:eastAsia="Times New Roman" w:hAnsi="Arial" w:cs="Arial"/>
          <w:color w:val="000000"/>
          <w:kern w:val="0"/>
          <w:sz w:val="21"/>
          <w:szCs w:val="21"/>
          <w:lang w:eastAsia="it-IT"/>
          <w14:ligatures w14:val="none"/>
        </w:rPr>
        <w:t> organizzata dalla Federazione Lavoratori della Conoscenza </w:t>
      </w:r>
      <w:r w:rsidRPr="006A6D7B">
        <w:rPr>
          <w:rFonts w:ascii="Arial" w:eastAsia="Times New Roman" w:hAnsi="Arial" w:cs="Arial"/>
          <w:b/>
          <w:bCs/>
          <w:color w:val="000000"/>
          <w:kern w:val="0"/>
          <w:sz w:val="21"/>
          <w:szCs w:val="21"/>
          <w:lang w:eastAsia="it-IT"/>
          <w14:ligatures w14:val="none"/>
        </w:rPr>
        <w:t>contro il disegno di autonomia differenziata</w:t>
      </w:r>
      <w:r w:rsidRPr="006A6D7B">
        <w:rPr>
          <w:rFonts w:ascii="Arial" w:eastAsia="Times New Roman" w:hAnsi="Arial" w:cs="Arial"/>
          <w:color w:val="000000"/>
          <w:kern w:val="0"/>
          <w:sz w:val="21"/>
          <w:szCs w:val="21"/>
          <w:lang w:eastAsia="it-IT"/>
          <w14:ligatures w14:val="none"/>
        </w:rPr>
        <w:t> voluto dal Governo.</w:t>
      </w:r>
    </w:p>
    <w:p w14:paraId="31BD20D9" w14:textId="6C81F39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“Stesso paese, stessi diritti” è il titolo della campagna partita da Roma il 16 novembre scorso e che sta girando tutto il Paese; dal 9 al 13 febbraio la carovana farà tappa in Liguria: il camper dei diritti sarà a Savona il 9 febbraio, il 10 a Sanremo, il 12 a Genova e il 13 a La Spezia “FLC CGIL è profondamente contraria al disegno di Legge Calderoli approvato dal Senato – dichiara </w:t>
      </w:r>
      <w:r w:rsidRPr="006A6D7B">
        <w:rPr>
          <w:rFonts w:ascii="Arial" w:eastAsia="Times New Roman" w:hAnsi="Arial" w:cs="Arial"/>
          <w:b/>
          <w:bCs/>
          <w:color w:val="000000"/>
          <w:kern w:val="0"/>
          <w:sz w:val="21"/>
          <w:szCs w:val="21"/>
          <w:lang w:eastAsia="it-IT"/>
          <w14:ligatures w14:val="none"/>
        </w:rPr>
        <w:t>Mario Lugaro</w:t>
      </w:r>
      <w:r w:rsidRPr="006A6D7B">
        <w:rPr>
          <w:rFonts w:ascii="Arial" w:eastAsia="Times New Roman" w:hAnsi="Arial" w:cs="Arial"/>
          <w:color w:val="000000"/>
          <w:kern w:val="0"/>
          <w:sz w:val="21"/>
          <w:szCs w:val="21"/>
          <w:lang w:eastAsia="it-IT"/>
          <w14:ligatures w14:val="none"/>
        </w:rPr>
        <w:t> Segretario Generale FLC CGIL Liguria – l’istruzione, diritto garantito dalla Carta Costituzionale, deve essere una su tutto il territorio nazionale: non siamo disponibili a permettere che vi siano situazione diseguali tra regioni e singoli territori”.</w:t>
      </w:r>
      <w:r w:rsidRPr="006A6D7B">
        <w:rPr>
          <w:rFonts w:ascii="Arial" w:eastAsia="Times New Roman" w:hAnsi="Arial" w:cs="Arial"/>
          <w:color w:val="000000"/>
          <w:kern w:val="0"/>
          <w:sz w:val="21"/>
          <w:szCs w:val="21"/>
          <w:lang w:eastAsia="it-IT"/>
          <w14:ligatures w14:val="none"/>
        </w:rPr>
        <w:t xml:space="preserve"> </w:t>
      </w:r>
    </w:p>
    <w:p w14:paraId="3FA1F83A"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Il viaggio intrapreso dal camper dei diritti tocca tutte le regioni italiane e al termine del suo viaggio avrà percorso più di 30 mila km. La FLC CGIL è profondamente contraria al disegno di legge sull’autonomia non solo perché è altamente divisivo e mina alle fondamenta il principio di universalità della scuola pubblica, ma perché il provvedimento si somma a quello sul dimensionamento scolastico che in Liguria provocherà la soppressione di 12 istituzioni scolastiche “La logica ragionieristica con la quale si affronta il tema scuola è sconcertante: far passare come efficientamento un provvedimento che ridurrà il personale scolastico e aumenterà quello degli alunni per classe è francamente una presa in giro che non si meritano né i colleghi della scuola né le famiglie” conclude Lugaro.</w:t>
      </w:r>
    </w:p>
    <w:p w14:paraId="43BCA947"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Durante le tappe liguri saranno organizzati momenti pubblici di confronto con scuole, enti e associazioni.</w:t>
      </w:r>
    </w:p>
    <w:p w14:paraId="37B6EB53" w14:textId="77777777" w:rsidR="006A6D7B" w:rsidRPr="006A6D7B" w:rsidRDefault="006A6D7B" w:rsidP="006A6D7B">
      <w:pPr>
        <w:shd w:val="clear" w:color="auto" w:fill="FFFFFF"/>
        <w:spacing w:before="75" w:after="75" w:line="240" w:lineRule="auto"/>
        <w:jc w:val="center"/>
        <w:outlineLvl w:val="3"/>
        <w:rPr>
          <w:rFonts w:ascii="Arial" w:eastAsia="Times New Roman" w:hAnsi="Arial" w:cs="Arial"/>
          <w:color w:val="535353"/>
          <w:kern w:val="0"/>
          <w:sz w:val="27"/>
          <w:szCs w:val="27"/>
          <w:lang w:eastAsia="it-IT"/>
          <w14:ligatures w14:val="none"/>
        </w:rPr>
      </w:pPr>
      <w:bookmarkStart w:id="0" w:name="programma"/>
      <w:bookmarkEnd w:id="0"/>
      <w:r w:rsidRPr="006A6D7B">
        <w:rPr>
          <w:rFonts w:ascii="Arial" w:eastAsia="Times New Roman" w:hAnsi="Arial" w:cs="Arial"/>
          <w:b/>
          <w:bCs/>
          <w:color w:val="535353"/>
          <w:kern w:val="0"/>
          <w:sz w:val="27"/>
          <w:szCs w:val="27"/>
          <w:lang w:eastAsia="it-IT"/>
          <w14:ligatures w14:val="none"/>
        </w:rPr>
        <w:t>PROGRAMMA DEGLI APPUNTAMENTI</w:t>
      </w:r>
    </w:p>
    <w:p w14:paraId="7F6EA385"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b/>
          <w:bCs/>
          <w:color w:val="000000"/>
          <w:kern w:val="0"/>
          <w:sz w:val="21"/>
          <w:szCs w:val="21"/>
          <w:lang w:eastAsia="it-IT"/>
          <w14:ligatures w14:val="none"/>
        </w:rPr>
        <w:t>Genova</w:t>
      </w:r>
      <w:r w:rsidRPr="006A6D7B">
        <w:rPr>
          <w:rFonts w:ascii="Arial" w:eastAsia="Times New Roman" w:hAnsi="Arial" w:cs="Arial"/>
          <w:color w:val="000000"/>
          <w:kern w:val="0"/>
          <w:sz w:val="21"/>
          <w:szCs w:val="21"/>
          <w:lang w:eastAsia="it-IT"/>
          <w14:ligatures w14:val="none"/>
        </w:rPr>
        <w:br/>
        <w:t xml:space="preserve">Lunedì 12 febbraio 2024 alle ore 17 FLC CGIL sarà in piazza con il camper dei diritti e la mini Italia, un puzzle composto dalle regioni italiane che con l’autonomia differenziata saranno sempre più divise. Gli </w:t>
      </w:r>
      <w:r w:rsidRPr="006A6D7B">
        <w:rPr>
          <w:rFonts w:ascii="Arial" w:eastAsia="Times New Roman" w:hAnsi="Arial" w:cs="Arial"/>
          <w:color w:val="000000"/>
          <w:kern w:val="0"/>
          <w:sz w:val="21"/>
          <w:szCs w:val="21"/>
          <w:lang w:eastAsia="it-IT"/>
          <w14:ligatures w14:val="none"/>
        </w:rPr>
        <w:lastRenderedPageBreak/>
        <w:t>interventi: Elena Bruzzese Segretaria FLC CGIL Genova, Igor Magni Segretario Generale CGIL Genova, Massimo Bisca Presidente Anpi e poi l’associazionismo e gli studenti con momenti di musica e teatro.</w:t>
      </w:r>
    </w:p>
    <w:p w14:paraId="52841363"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b/>
          <w:bCs/>
          <w:color w:val="000000"/>
          <w:kern w:val="0"/>
          <w:sz w:val="21"/>
          <w:szCs w:val="21"/>
          <w:lang w:eastAsia="it-IT"/>
          <w14:ligatures w14:val="none"/>
        </w:rPr>
        <w:t>Savona</w:t>
      </w:r>
      <w:r w:rsidRPr="006A6D7B">
        <w:rPr>
          <w:rFonts w:ascii="Arial" w:eastAsia="Times New Roman" w:hAnsi="Arial" w:cs="Arial"/>
          <w:color w:val="000000"/>
          <w:kern w:val="0"/>
          <w:sz w:val="21"/>
          <w:szCs w:val="21"/>
          <w:lang w:eastAsia="it-IT"/>
          <w14:ligatures w14:val="none"/>
        </w:rPr>
        <w:br/>
        <w:t>Venerdì 9 febbraio 2024 dalle 9 del mattino volantinaggio presso il mercato Altare, successivamente a Cairo Montenotte dal Presidente dell’Istituto storico Mauro Righello si terrà un incontro con gli studenti del Professionale di Cairo.</w:t>
      </w:r>
      <w:r w:rsidRPr="006A6D7B">
        <w:rPr>
          <w:rFonts w:ascii="Arial" w:eastAsia="Times New Roman" w:hAnsi="Arial" w:cs="Arial"/>
          <w:color w:val="000000"/>
          <w:kern w:val="0"/>
          <w:sz w:val="21"/>
          <w:szCs w:val="21"/>
          <w:lang w:eastAsia="it-IT"/>
          <w14:ligatures w14:val="none"/>
        </w:rPr>
        <w:br/>
        <w:t xml:space="preserve">Nel pomeriggio alle ore 16.30 l’iniziativa si sposta presso la Sala Rossa del Comune di Savona dove si terrà un dibattito sull’autonomia differenziata e sul Liceo del made in </w:t>
      </w:r>
      <w:proofErr w:type="spellStart"/>
      <w:r w:rsidRPr="006A6D7B">
        <w:rPr>
          <w:rFonts w:ascii="Arial" w:eastAsia="Times New Roman" w:hAnsi="Arial" w:cs="Arial"/>
          <w:color w:val="000000"/>
          <w:kern w:val="0"/>
          <w:sz w:val="21"/>
          <w:szCs w:val="21"/>
          <w:lang w:eastAsia="it-IT"/>
          <w14:ligatures w14:val="none"/>
        </w:rPr>
        <w:t>Italy</w:t>
      </w:r>
      <w:proofErr w:type="spellEnd"/>
      <w:r w:rsidRPr="006A6D7B">
        <w:rPr>
          <w:rFonts w:ascii="Arial" w:eastAsia="Times New Roman" w:hAnsi="Arial" w:cs="Arial"/>
          <w:color w:val="000000"/>
          <w:kern w:val="0"/>
          <w:sz w:val="21"/>
          <w:szCs w:val="21"/>
          <w:lang w:eastAsia="it-IT"/>
          <w14:ligatures w14:val="none"/>
        </w:rPr>
        <w:t xml:space="preserve"> insieme a FLC CGIL, Amministrazione comunale, personale della scuola e Camera del Lavoro di Savona.</w:t>
      </w:r>
    </w:p>
    <w:p w14:paraId="04937055" w14:textId="77777777" w:rsidR="006A6D7B" w:rsidRPr="006A6D7B" w:rsidRDefault="006A6D7B" w:rsidP="006A6D7B">
      <w:pPr>
        <w:shd w:val="clear" w:color="auto" w:fill="FFFFFF"/>
        <w:spacing w:after="225" w:line="240" w:lineRule="auto"/>
        <w:jc w:val="both"/>
        <w:rPr>
          <w:rFonts w:ascii="Arial" w:eastAsia="Times New Roman" w:hAnsi="Arial" w:cs="Arial"/>
          <w:b/>
          <w:bCs/>
          <w:color w:val="FF0000"/>
          <w:kern w:val="0"/>
          <w:sz w:val="21"/>
          <w:szCs w:val="21"/>
          <w:lang w:eastAsia="it-IT"/>
          <w14:ligatures w14:val="none"/>
        </w:rPr>
      </w:pPr>
      <w:r w:rsidRPr="006A6D7B">
        <w:rPr>
          <w:rFonts w:ascii="Arial" w:eastAsia="Times New Roman" w:hAnsi="Arial" w:cs="Arial"/>
          <w:b/>
          <w:bCs/>
          <w:color w:val="000000"/>
          <w:kern w:val="0"/>
          <w:sz w:val="21"/>
          <w:szCs w:val="21"/>
          <w:lang w:eastAsia="it-IT"/>
          <w14:ligatures w14:val="none"/>
        </w:rPr>
        <w:t>Sanremo</w:t>
      </w:r>
      <w:r w:rsidRPr="006A6D7B">
        <w:rPr>
          <w:rFonts w:ascii="Arial" w:eastAsia="Times New Roman" w:hAnsi="Arial" w:cs="Arial"/>
          <w:color w:val="000000"/>
          <w:kern w:val="0"/>
          <w:sz w:val="21"/>
          <w:szCs w:val="21"/>
          <w:lang w:eastAsia="it-IT"/>
          <w14:ligatures w14:val="none"/>
        </w:rPr>
        <w:br/>
      </w:r>
      <w:r w:rsidRPr="006A6D7B">
        <w:rPr>
          <w:rFonts w:ascii="Arial" w:eastAsia="Times New Roman" w:hAnsi="Arial" w:cs="Arial"/>
          <w:b/>
          <w:bCs/>
          <w:color w:val="FF0000"/>
          <w:kern w:val="0"/>
          <w:sz w:val="21"/>
          <w:szCs w:val="21"/>
          <w:lang w:eastAsia="it-IT"/>
          <w14:ligatures w14:val="none"/>
        </w:rPr>
        <w:t>Sabato 10 febbraio 2024 nella pedonale Piazza Muccioli a Sanremo si terrà un volantinaggio dalle ore 14 alle ore 17 con il coinvolgimento diretto dei passanti.</w:t>
      </w:r>
    </w:p>
    <w:p w14:paraId="16934686" w14:textId="2B054777" w:rsidR="006A6D7B" w:rsidRDefault="006A6D7B" w:rsidP="006A6D7B">
      <w:pPr>
        <w:shd w:val="clear" w:color="auto" w:fill="FFFFFF"/>
        <w:spacing w:after="225" w:line="240" w:lineRule="auto"/>
        <w:jc w:val="both"/>
        <w:rPr>
          <w:rFonts w:ascii="Arial" w:eastAsia="Times New Roman" w:hAnsi="Arial" w:cs="Arial"/>
          <w:b/>
          <w:bCs/>
          <w:color w:val="000000"/>
          <w:kern w:val="0"/>
          <w:sz w:val="21"/>
          <w:szCs w:val="21"/>
          <w:lang w:eastAsia="it-IT"/>
          <w14:ligatures w14:val="none"/>
        </w:rPr>
      </w:pPr>
      <w:r>
        <w:rPr>
          <w:rFonts w:ascii="Arial" w:eastAsia="Times New Roman" w:hAnsi="Arial" w:cs="Arial"/>
          <w:b/>
          <w:bCs/>
          <w:color w:val="000000"/>
          <w:kern w:val="0"/>
          <w:sz w:val="21"/>
          <w:szCs w:val="21"/>
          <w:lang w:eastAsia="it-IT"/>
          <w14:ligatures w14:val="none"/>
        </w:rPr>
        <w:t>La Spezia</w:t>
      </w:r>
    </w:p>
    <w:p w14:paraId="07F6F9A2" w14:textId="27492706"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Martedì 13 febbraio 2024 in piazza Mentana, parole, musica e teatro con artisti locali e con le scuole. Dalle ore 9 sino alle 12.30 sono previsti interventi di insegnanti, genitori e dirigenti scolastici.</w:t>
      </w:r>
    </w:p>
    <w:p w14:paraId="507DFF24" w14:textId="77777777" w:rsidR="006A6D7B" w:rsidRPr="006A6D7B" w:rsidRDefault="006A6D7B" w:rsidP="006A6D7B">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6A6D7B">
        <w:rPr>
          <w:rFonts w:ascii="Tahoma" w:eastAsia="Times New Roman" w:hAnsi="Tahoma" w:cs="Tahoma"/>
          <w:color w:val="DC3B33"/>
          <w:kern w:val="36"/>
          <w:sz w:val="45"/>
          <w:szCs w:val="45"/>
          <w:lang w:eastAsia="it-IT"/>
          <w14:ligatures w14:val="none"/>
        </w:rPr>
        <w:t>Pagamento supplenti, poniamo fine ai ritardi!</w:t>
      </w:r>
    </w:p>
    <w:p w14:paraId="0CB1E358" w14:textId="77777777" w:rsidR="006A6D7B" w:rsidRPr="006A6D7B" w:rsidRDefault="006A6D7B" w:rsidP="006A6D7B">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6A6D7B">
        <w:rPr>
          <w:rFonts w:ascii="Arial" w:eastAsia="Times New Roman" w:hAnsi="Arial" w:cs="Arial"/>
          <w:color w:val="535353"/>
          <w:kern w:val="0"/>
          <w:sz w:val="27"/>
          <w:szCs w:val="27"/>
          <w:lang w:eastAsia="it-IT"/>
          <w14:ligatures w14:val="none"/>
        </w:rPr>
        <w:t>Una proposta risolutiva della FLC CGIL: affidare la competenza dei pagamenti al MEF</w:t>
      </w:r>
    </w:p>
    <w:p w14:paraId="1F6B6397" w14:textId="77777777" w:rsidR="006A6D7B" w:rsidRPr="006A6D7B" w:rsidRDefault="006A6D7B" w:rsidP="006A6D7B">
      <w:pPr>
        <w:shd w:val="clear" w:color="auto" w:fill="FFFFFF"/>
        <w:spacing w:after="0" w:line="240" w:lineRule="auto"/>
        <w:rPr>
          <w:rFonts w:ascii="Arial" w:eastAsia="Times New Roman" w:hAnsi="Arial" w:cs="Arial"/>
          <w:color w:val="4D4D4D"/>
          <w:kern w:val="0"/>
          <w:sz w:val="21"/>
          <w:szCs w:val="21"/>
          <w:lang w:eastAsia="it-IT"/>
          <w14:ligatures w14:val="none"/>
        </w:rPr>
      </w:pPr>
      <w:r w:rsidRPr="006A6D7B">
        <w:rPr>
          <w:rFonts w:ascii="Arial" w:eastAsia="Times New Roman" w:hAnsi="Arial" w:cs="Arial"/>
          <w:b/>
          <w:bCs/>
          <w:color w:val="4D4D4D"/>
          <w:kern w:val="0"/>
          <w:sz w:val="21"/>
          <w:szCs w:val="21"/>
          <w:lang w:eastAsia="it-IT"/>
          <w14:ligatures w14:val="none"/>
        </w:rPr>
        <w:t>01/02/2024</w:t>
      </w:r>
    </w:p>
    <w:p w14:paraId="2840987A" w14:textId="77777777" w:rsid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24A8B506" w14:textId="6FBFB2F0"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Con una semplice operazione tecnica nel primo provvedimento normativo utile, la competenza dei pagamenti delle supplenze dovrà essere a carico, a mezzo dei ruoli di spesa fissa, del Ministero dell’Economia e delle Finanze (MEF).</w:t>
      </w:r>
    </w:p>
    <w:p w14:paraId="7735606C"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La FLC CGIL, da sempre impegnata a tutelare il lavoro e la giusta e tempestiva retribuzione del personale scolastico, avanza </w:t>
      </w:r>
      <w:r w:rsidRPr="006A6D7B">
        <w:rPr>
          <w:rFonts w:ascii="Arial" w:eastAsia="Times New Roman" w:hAnsi="Arial" w:cs="Arial"/>
          <w:b/>
          <w:bCs/>
          <w:color w:val="000000"/>
          <w:kern w:val="0"/>
          <w:sz w:val="21"/>
          <w:szCs w:val="21"/>
          <w:lang w:eastAsia="it-IT"/>
          <w14:ligatures w14:val="none"/>
        </w:rPr>
        <w:t>una proposta che può risolvere una volta per tutte lo scandalo del ritardato pagamento delle supplenze</w:t>
      </w:r>
      <w:r w:rsidRPr="006A6D7B">
        <w:rPr>
          <w:rFonts w:ascii="Arial" w:eastAsia="Times New Roman" w:hAnsi="Arial" w:cs="Arial"/>
          <w:color w:val="000000"/>
          <w:kern w:val="0"/>
          <w:sz w:val="21"/>
          <w:szCs w:val="21"/>
          <w:lang w:eastAsia="it-IT"/>
          <w14:ligatures w14:val="none"/>
        </w:rPr>
        <w:t xml:space="preserve"> del personale docente e </w:t>
      </w:r>
      <w:proofErr w:type="spellStart"/>
      <w:r w:rsidRPr="006A6D7B">
        <w:rPr>
          <w:rFonts w:ascii="Arial" w:eastAsia="Times New Roman" w:hAnsi="Arial" w:cs="Arial"/>
          <w:color w:val="000000"/>
          <w:kern w:val="0"/>
          <w:sz w:val="21"/>
          <w:szCs w:val="21"/>
          <w:lang w:eastAsia="it-IT"/>
          <w14:ligatures w14:val="none"/>
        </w:rPr>
        <w:t>ata</w:t>
      </w:r>
      <w:proofErr w:type="spellEnd"/>
      <w:r w:rsidRPr="006A6D7B">
        <w:rPr>
          <w:rFonts w:ascii="Arial" w:eastAsia="Times New Roman" w:hAnsi="Arial" w:cs="Arial"/>
          <w:color w:val="000000"/>
          <w:kern w:val="0"/>
          <w:sz w:val="21"/>
          <w:szCs w:val="21"/>
          <w:lang w:eastAsia="it-IT"/>
          <w14:ligatures w14:val="none"/>
        </w:rPr>
        <w:t xml:space="preserve"> che si vede talvolta in maniera massiccia, per un gran numero di operatori, differire la retribuzione dovuta di ben quattro mesi.</w:t>
      </w:r>
    </w:p>
    <w:p w14:paraId="55C106BE"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Infatti, quest’anno, come ogni anno, i mesi di settembre ottobre novembre dicembre e tredicesima mensilità 2023 sono stati pagati a gennaio 2024.</w:t>
      </w:r>
    </w:p>
    <w:p w14:paraId="692C9C6F"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In breve </w:t>
      </w:r>
      <w:r w:rsidRPr="006A6D7B">
        <w:rPr>
          <w:rFonts w:ascii="Arial" w:eastAsia="Times New Roman" w:hAnsi="Arial" w:cs="Arial"/>
          <w:b/>
          <w:bCs/>
          <w:color w:val="000000"/>
          <w:kern w:val="0"/>
          <w:sz w:val="21"/>
          <w:szCs w:val="21"/>
          <w:lang w:eastAsia="it-IT"/>
          <w14:ligatures w14:val="none"/>
        </w:rPr>
        <w:t>la FLC CGIL propone</w:t>
      </w:r>
      <w:r w:rsidRPr="006A6D7B">
        <w:rPr>
          <w:rFonts w:ascii="Arial" w:eastAsia="Times New Roman" w:hAnsi="Arial" w:cs="Arial"/>
          <w:color w:val="000000"/>
          <w:kern w:val="0"/>
          <w:sz w:val="21"/>
          <w:szCs w:val="21"/>
          <w:lang w:eastAsia="it-IT"/>
          <w14:ligatures w14:val="none"/>
        </w:rPr>
        <w:t> con un apposito</w:t>
      </w:r>
      <w:r w:rsidRPr="006A6D7B">
        <w:rPr>
          <w:rFonts w:ascii="Arial" w:eastAsia="Times New Roman" w:hAnsi="Arial" w:cs="Arial"/>
          <w:b/>
          <w:bCs/>
          <w:color w:val="000000"/>
          <w:kern w:val="0"/>
          <w:sz w:val="21"/>
          <w:szCs w:val="21"/>
          <w:lang w:eastAsia="it-IT"/>
          <w14:ligatures w14:val="none"/>
        </w:rPr>
        <w:t> emendamento DDL recante "Disposizioni in materia di lavoro"</w:t>
      </w:r>
      <w:r w:rsidRPr="006A6D7B">
        <w:rPr>
          <w:rFonts w:ascii="Arial" w:eastAsia="Times New Roman" w:hAnsi="Arial" w:cs="Arial"/>
          <w:color w:val="000000"/>
          <w:kern w:val="0"/>
          <w:sz w:val="21"/>
          <w:szCs w:val="21"/>
          <w:lang w:eastAsia="it-IT"/>
          <w14:ligatures w14:val="none"/>
        </w:rPr>
        <w:t> (C.1532 -bis) in discussione in parlamento di</w:t>
      </w:r>
      <w:r w:rsidRPr="006A6D7B">
        <w:rPr>
          <w:rFonts w:ascii="Arial" w:eastAsia="Times New Roman" w:hAnsi="Arial" w:cs="Arial"/>
          <w:b/>
          <w:bCs/>
          <w:color w:val="000000"/>
          <w:kern w:val="0"/>
          <w:sz w:val="21"/>
          <w:szCs w:val="21"/>
          <w:lang w:eastAsia="it-IT"/>
          <w14:ligatures w14:val="none"/>
        </w:rPr>
        <w:t> mettere a carico del MEF l’operazione</w:t>
      </w:r>
      <w:r w:rsidRPr="006A6D7B">
        <w:rPr>
          <w:rFonts w:ascii="Arial" w:eastAsia="Times New Roman" w:hAnsi="Arial" w:cs="Arial"/>
          <w:color w:val="000000"/>
          <w:kern w:val="0"/>
          <w:sz w:val="21"/>
          <w:szCs w:val="21"/>
          <w:lang w:eastAsia="it-IT"/>
          <w14:ligatures w14:val="none"/>
        </w:rPr>
        <w:t xml:space="preserve"> esattamente come già avviene nel caso degli stipendi del personale supplente in maternità </w:t>
      </w:r>
      <w:proofErr w:type="gramStart"/>
      <w:r w:rsidRPr="006A6D7B">
        <w:rPr>
          <w:rFonts w:ascii="Arial" w:eastAsia="Times New Roman" w:hAnsi="Arial" w:cs="Arial"/>
          <w:color w:val="000000"/>
          <w:kern w:val="0"/>
          <w:sz w:val="21"/>
          <w:szCs w:val="21"/>
          <w:lang w:eastAsia="it-IT"/>
          <w14:ligatures w14:val="none"/>
        </w:rPr>
        <w:t>( art.</w:t>
      </w:r>
      <w:proofErr w:type="gramEnd"/>
      <w:r w:rsidRPr="006A6D7B">
        <w:rPr>
          <w:rFonts w:ascii="Arial" w:eastAsia="Times New Roman" w:hAnsi="Arial" w:cs="Arial"/>
          <w:color w:val="000000"/>
          <w:kern w:val="0"/>
          <w:sz w:val="21"/>
          <w:szCs w:val="21"/>
          <w:lang w:eastAsia="it-IT"/>
          <w14:ligatures w14:val="none"/>
        </w:rPr>
        <w:t xml:space="preserve"> 2 comma 5 DL 147/2007).</w:t>
      </w:r>
    </w:p>
    <w:p w14:paraId="6F7A405D"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Non c'è nessun aggravio di spesa ma il meccanismo seguirebbe la procedura delle liquidazioni stipendiali a mezzo dei ruoli di spesa fissa attribuendo la competenza al Servizio centrale del Sistema Informativo integrato del Ministero dell’economia e delle finanze.</w:t>
      </w:r>
    </w:p>
    <w:p w14:paraId="40041B28"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Non ci sono alibi.</w:t>
      </w:r>
    </w:p>
    <w:p w14:paraId="7892B29B"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Basta la volontà politica</w:t>
      </w:r>
    </w:p>
    <w:p w14:paraId="6E068C32" w14:textId="77777777" w:rsidR="006A6D7B" w:rsidRPr="006A6D7B" w:rsidRDefault="006A6D7B" w:rsidP="006A6D7B">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6A6D7B">
        <w:rPr>
          <w:rFonts w:ascii="Tahoma" w:eastAsia="Times New Roman" w:hAnsi="Tahoma" w:cs="Tahoma"/>
          <w:color w:val="DC3B33"/>
          <w:kern w:val="36"/>
          <w:sz w:val="45"/>
          <w:szCs w:val="45"/>
          <w:lang w:eastAsia="it-IT"/>
          <w14:ligatures w14:val="none"/>
        </w:rPr>
        <w:t>Solidarietà a Ilaria Salis</w:t>
      </w:r>
    </w:p>
    <w:p w14:paraId="0C3D48FD" w14:textId="77777777" w:rsidR="006A6D7B" w:rsidRPr="006A6D7B" w:rsidRDefault="006A6D7B" w:rsidP="006A6D7B">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6A6D7B">
        <w:rPr>
          <w:rFonts w:ascii="Arial" w:eastAsia="Times New Roman" w:hAnsi="Arial" w:cs="Arial"/>
          <w:color w:val="535353"/>
          <w:kern w:val="0"/>
          <w:sz w:val="27"/>
          <w:szCs w:val="27"/>
          <w:lang w:eastAsia="it-IT"/>
          <w14:ligatures w14:val="none"/>
        </w:rPr>
        <w:t>Il governo italiano si attivi e si confronti da pari con quello ungherese, chieda che il processo venga spostato in Italia e che condizioni detentive dignitose siano ripristinate immediatamente</w:t>
      </w:r>
    </w:p>
    <w:p w14:paraId="5E0B1AEE" w14:textId="77777777" w:rsid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4FAB5A7F" w14:textId="4872253B"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La </w:t>
      </w:r>
      <w:r w:rsidRPr="006A6D7B">
        <w:rPr>
          <w:rFonts w:ascii="Arial" w:eastAsia="Times New Roman" w:hAnsi="Arial" w:cs="Arial"/>
          <w:b/>
          <w:bCs/>
          <w:color w:val="000000"/>
          <w:kern w:val="0"/>
          <w:sz w:val="21"/>
          <w:szCs w:val="21"/>
          <w:lang w:eastAsia="it-IT"/>
          <w14:ligatures w14:val="none"/>
        </w:rPr>
        <w:t>Federazione Lavoratori della Conoscenza</w:t>
      </w:r>
      <w:r w:rsidRPr="006A6D7B">
        <w:rPr>
          <w:rFonts w:ascii="Arial" w:eastAsia="Times New Roman" w:hAnsi="Arial" w:cs="Arial"/>
          <w:color w:val="000000"/>
          <w:kern w:val="0"/>
          <w:sz w:val="21"/>
          <w:szCs w:val="21"/>
          <w:lang w:eastAsia="it-IT"/>
          <w14:ligatures w14:val="none"/>
        </w:rPr>
        <w:t> (FLC) della CGIL </w:t>
      </w:r>
      <w:r w:rsidRPr="006A6D7B">
        <w:rPr>
          <w:rFonts w:ascii="Arial" w:eastAsia="Times New Roman" w:hAnsi="Arial" w:cs="Arial"/>
          <w:b/>
          <w:bCs/>
          <w:color w:val="000000"/>
          <w:kern w:val="0"/>
          <w:sz w:val="21"/>
          <w:szCs w:val="21"/>
          <w:lang w:eastAsia="it-IT"/>
          <w14:ligatures w14:val="none"/>
        </w:rPr>
        <w:t>ritiene inaccettabile il trattamento giudiziario e carcerario riservato a Ilaria Salis</w:t>
      </w:r>
      <w:r w:rsidRPr="006A6D7B">
        <w:rPr>
          <w:rFonts w:ascii="Arial" w:eastAsia="Times New Roman" w:hAnsi="Arial" w:cs="Arial"/>
          <w:color w:val="000000"/>
          <w:kern w:val="0"/>
          <w:sz w:val="21"/>
          <w:szCs w:val="21"/>
          <w:lang w:eastAsia="it-IT"/>
          <w14:ligatures w14:val="none"/>
        </w:rPr>
        <w:t>, insegnante di Monza, trascinata in catene presso il </w:t>
      </w:r>
      <w:r w:rsidRPr="006A6D7B">
        <w:rPr>
          <w:rFonts w:ascii="Arial" w:eastAsia="Times New Roman" w:hAnsi="Arial" w:cs="Arial"/>
          <w:b/>
          <w:bCs/>
          <w:color w:val="000000"/>
          <w:kern w:val="0"/>
          <w:sz w:val="21"/>
          <w:szCs w:val="21"/>
          <w:lang w:eastAsia="it-IT"/>
          <w14:ligatures w14:val="none"/>
        </w:rPr>
        <w:t>Tribunale di Budapest</w:t>
      </w:r>
      <w:r w:rsidRPr="006A6D7B">
        <w:rPr>
          <w:rFonts w:ascii="Arial" w:eastAsia="Times New Roman" w:hAnsi="Arial" w:cs="Arial"/>
          <w:color w:val="000000"/>
          <w:kern w:val="0"/>
          <w:sz w:val="21"/>
          <w:szCs w:val="21"/>
          <w:lang w:eastAsia="it-IT"/>
          <w14:ligatures w14:val="none"/>
        </w:rPr>
        <w:t> in occasione della prima udienza di un processo a suo carico per presunte “lesioni potenzialmente mortali” contro un militante neonazista.</w:t>
      </w:r>
    </w:p>
    <w:p w14:paraId="7BBBA342"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Ilaria da circa un anno si trova in un carcere di massima sicurezza in detenzione preventiva per un </w:t>
      </w:r>
      <w:r w:rsidRPr="006A6D7B">
        <w:rPr>
          <w:rFonts w:ascii="Arial" w:eastAsia="Times New Roman" w:hAnsi="Arial" w:cs="Arial"/>
          <w:b/>
          <w:bCs/>
          <w:color w:val="000000"/>
          <w:kern w:val="0"/>
          <w:sz w:val="21"/>
          <w:szCs w:val="21"/>
          <w:lang w:eastAsia="it-IT"/>
          <w14:ligatures w14:val="none"/>
        </w:rPr>
        <w:t>reato di tipo politico del quale si dichiara innocente</w:t>
      </w:r>
      <w:r w:rsidRPr="006A6D7B">
        <w:rPr>
          <w:rFonts w:ascii="Arial" w:eastAsia="Times New Roman" w:hAnsi="Arial" w:cs="Arial"/>
          <w:color w:val="000000"/>
          <w:kern w:val="0"/>
          <w:sz w:val="21"/>
          <w:szCs w:val="21"/>
          <w:lang w:eastAsia="it-IT"/>
          <w14:ligatures w14:val="none"/>
        </w:rPr>
        <w:t>. Nel corso dei mesi sono emersi </w:t>
      </w:r>
      <w:r w:rsidRPr="006A6D7B">
        <w:rPr>
          <w:rFonts w:ascii="Arial" w:eastAsia="Times New Roman" w:hAnsi="Arial" w:cs="Arial"/>
          <w:b/>
          <w:bCs/>
          <w:color w:val="000000"/>
          <w:kern w:val="0"/>
          <w:sz w:val="21"/>
          <w:szCs w:val="21"/>
          <w:lang w:eastAsia="it-IT"/>
          <w14:ligatures w14:val="none"/>
        </w:rPr>
        <w:t>dettagli spaventosi circa le condizioni detentive cui è costretta</w:t>
      </w:r>
      <w:r w:rsidRPr="006A6D7B">
        <w:rPr>
          <w:rFonts w:ascii="Arial" w:eastAsia="Times New Roman" w:hAnsi="Arial" w:cs="Arial"/>
          <w:color w:val="000000"/>
          <w:kern w:val="0"/>
          <w:sz w:val="21"/>
          <w:szCs w:val="21"/>
          <w:lang w:eastAsia="it-IT"/>
          <w14:ligatures w14:val="none"/>
        </w:rPr>
        <w:t>.</w:t>
      </w:r>
    </w:p>
    <w:p w14:paraId="6873151C"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b/>
          <w:bCs/>
          <w:color w:val="000000"/>
          <w:kern w:val="0"/>
          <w:sz w:val="21"/>
          <w:szCs w:val="21"/>
          <w:lang w:eastAsia="it-IT"/>
          <w14:ligatures w14:val="none"/>
        </w:rPr>
        <w:t>Esprimiamo tutta la nostra solidarietà a Ilaria, alla sua famiglia e ai suoi colleghi</w:t>
      </w:r>
      <w:r w:rsidRPr="006A6D7B">
        <w:rPr>
          <w:rFonts w:ascii="Arial" w:eastAsia="Times New Roman" w:hAnsi="Arial" w:cs="Arial"/>
          <w:color w:val="000000"/>
          <w:kern w:val="0"/>
          <w:sz w:val="21"/>
          <w:szCs w:val="21"/>
          <w:lang w:eastAsia="it-IT"/>
          <w14:ligatures w14:val="none"/>
        </w:rPr>
        <w:t> che stanno lottando per riportarla in Italia. Inoltre, chiediamo al nostro governo di uscire dall’immobilismo e spendersi per la tutela dei diritti di una nostra concittadina, che ha diritto a un giusto processo e che è ora detenuta in condizioni disumane presso il carcere di un paese membro dell’Unione Europea.</w:t>
      </w:r>
    </w:p>
    <w:p w14:paraId="21FDB003"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L’indipendenza della magistratura in </w:t>
      </w:r>
      <w:r w:rsidRPr="006A6D7B">
        <w:rPr>
          <w:rFonts w:ascii="Arial" w:eastAsia="Times New Roman" w:hAnsi="Arial" w:cs="Arial"/>
          <w:b/>
          <w:bCs/>
          <w:color w:val="000000"/>
          <w:kern w:val="0"/>
          <w:sz w:val="21"/>
          <w:szCs w:val="21"/>
          <w:lang w:eastAsia="it-IT"/>
          <w14:ligatures w14:val="none"/>
        </w:rPr>
        <w:t>Ungheria</w:t>
      </w:r>
      <w:r w:rsidRPr="006A6D7B">
        <w:rPr>
          <w:rFonts w:ascii="Arial" w:eastAsia="Times New Roman" w:hAnsi="Arial" w:cs="Arial"/>
          <w:color w:val="000000"/>
          <w:kern w:val="0"/>
          <w:sz w:val="21"/>
          <w:szCs w:val="21"/>
          <w:lang w:eastAsia="it-IT"/>
          <w14:ligatures w14:val="none"/>
        </w:rPr>
        <w:t> è ai minimi storici; secondo il Quadro di valutazione UE sulla giustizia il 90% degli intervistati ungheresi si dichiara preoccupato per la </w:t>
      </w:r>
      <w:hyperlink r:id="rId13" w:tgtFrame="_blank" w:history="1">
        <w:r w:rsidRPr="006A6D7B">
          <w:rPr>
            <w:rFonts w:ascii="Arial" w:eastAsia="Times New Roman" w:hAnsi="Arial" w:cs="Arial"/>
            <w:color w:val="005EB3"/>
            <w:kern w:val="0"/>
            <w:sz w:val="21"/>
            <w:szCs w:val="21"/>
            <w:u w:val="single"/>
            <w:lang w:eastAsia="it-IT"/>
            <w14:ligatures w14:val="none"/>
          </w:rPr>
          <w:t>mancanza di libertà dei giudici in relazione al potere esecutivo</w:t>
        </w:r>
      </w:hyperlink>
      <w:r w:rsidRPr="006A6D7B">
        <w:rPr>
          <w:rFonts w:ascii="Arial" w:eastAsia="Times New Roman" w:hAnsi="Arial" w:cs="Arial"/>
          <w:color w:val="000000"/>
          <w:kern w:val="0"/>
          <w:sz w:val="21"/>
          <w:szCs w:val="21"/>
          <w:lang w:eastAsia="it-IT"/>
          <w14:ligatures w14:val="none"/>
        </w:rPr>
        <w:t>.</w:t>
      </w:r>
    </w:p>
    <w:p w14:paraId="1C561897"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L’appartenenza all’Unione si fonda sui principi di rispetto dei </w:t>
      </w:r>
      <w:r w:rsidRPr="006A6D7B">
        <w:rPr>
          <w:rFonts w:ascii="Arial" w:eastAsia="Times New Roman" w:hAnsi="Arial" w:cs="Arial"/>
          <w:b/>
          <w:bCs/>
          <w:color w:val="000000"/>
          <w:kern w:val="0"/>
          <w:sz w:val="21"/>
          <w:szCs w:val="21"/>
          <w:lang w:eastAsia="it-IT"/>
          <w14:ligatures w14:val="none"/>
        </w:rPr>
        <w:t>diritti umani fondamentali</w:t>
      </w:r>
      <w:r w:rsidRPr="006A6D7B">
        <w:rPr>
          <w:rFonts w:ascii="Arial" w:eastAsia="Times New Roman" w:hAnsi="Arial" w:cs="Arial"/>
          <w:color w:val="000000"/>
          <w:kern w:val="0"/>
          <w:sz w:val="21"/>
          <w:szCs w:val="21"/>
          <w:lang w:eastAsia="it-IT"/>
          <w14:ligatures w14:val="none"/>
        </w:rPr>
        <w:t>, delle </w:t>
      </w:r>
      <w:r w:rsidRPr="006A6D7B">
        <w:rPr>
          <w:rFonts w:ascii="Arial" w:eastAsia="Times New Roman" w:hAnsi="Arial" w:cs="Arial"/>
          <w:b/>
          <w:bCs/>
          <w:color w:val="000000"/>
          <w:kern w:val="0"/>
          <w:sz w:val="21"/>
          <w:szCs w:val="21"/>
          <w:lang w:eastAsia="it-IT"/>
          <w14:ligatures w14:val="none"/>
        </w:rPr>
        <w:t>norme che tutelano i detenuti</w:t>
      </w:r>
      <w:r w:rsidRPr="006A6D7B">
        <w:rPr>
          <w:rFonts w:ascii="Arial" w:eastAsia="Times New Roman" w:hAnsi="Arial" w:cs="Arial"/>
          <w:color w:val="000000"/>
          <w:kern w:val="0"/>
          <w:sz w:val="21"/>
          <w:szCs w:val="21"/>
          <w:lang w:eastAsia="it-IT"/>
          <w14:ligatures w14:val="none"/>
        </w:rPr>
        <w:t> e il </w:t>
      </w:r>
      <w:r w:rsidRPr="006A6D7B">
        <w:rPr>
          <w:rFonts w:ascii="Arial" w:eastAsia="Times New Roman" w:hAnsi="Arial" w:cs="Arial"/>
          <w:b/>
          <w:bCs/>
          <w:color w:val="000000"/>
          <w:kern w:val="0"/>
          <w:sz w:val="21"/>
          <w:szCs w:val="21"/>
          <w:lang w:eastAsia="it-IT"/>
          <w14:ligatures w14:val="none"/>
        </w:rPr>
        <w:t>giusto processo</w:t>
      </w:r>
      <w:r w:rsidRPr="006A6D7B">
        <w:rPr>
          <w:rFonts w:ascii="Arial" w:eastAsia="Times New Roman" w:hAnsi="Arial" w:cs="Arial"/>
          <w:color w:val="000000"/>
          <w:kern w:val="0"/>
          <w:sz w:val="21"/>
          <w:szCs w:val="21"/>
          <w:lang w:eastAsia="it-IT"/>
          <w14:ligatures w14:val="none"/>
        </w:rPr>
        <w:t>, senza eccezione alcuna. Principi messi in discussione in Ungheria ed evidenziati da Amnesty International presso il Parlamento europeo in un report che denuncia “che le autorità ungheresi hanno attaccato l’indipendenza del potere giudiziario, rifiutato di ratificare un trattato per la protezione delle donne dalla violenza, adottato leggi omotransfobiche, calpestato i diritti dei rifugiati e dei richiedenti asilo e soppresso la libertà di espressione e di associazione”.</w:t>
      </w:r>
    </w:p>
    <w:p w14:paraId="2DFA26DB" w14:textId="77777777" w:rsidR="006A6D7B" w:rsidRPr="006A6D7B" w:rsidRDefault="006A6D7B" w:rsidP="006A6D7B">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6A6D7B">
        <w:rPr>
          <w:rFonts w:ascii="Arial" w:eastAsia="Times New Roman" w:hAnsi="Arial" w:cs="Arial"/>
          <w:color w:val="000000"/>
          <w:kern w:val="0"/>
          <w:sz w:val="21"/>
          <w:szCs w:val="21"/>
          <w:lang w:eastAsia="it-IT"/>
          <w14:ligatures w14:val="none"/>
        </w:rPr>
        <w:t>Pertanto, come FLC CGIL </w:t>
      </w:r>
      <w:r w:rsidRPr="006A6D7B">
        <w:rPr>
          <w:rFonts w:ascii="Arial" w:eastAsia="Times New Roman" w:hAnsi="Arial" w:cs="Arial"/>
          <w:b/>
          <w:bCs/>
          <w:color w:val="000000"/>
          <w:kern w:val="0"/>
          <w:sz w:val="21"/>
          <w:szCs w:val="21"/>
          <w:lang w:eastAsia="it-IT"/>
          <w14:ligatures w14:val="none"/>
        </w:rPr>
        <w:t>chiediamo al nostro governo</w:t>
      </w:r>
      <w:r w:rsidRPr="006A6D7B">
        <w:rPr>
          <w:rFonts w:ascii="Arial" w:eastAsia="Times New Roman" w:hAnsi="Arial" w:cs="Arial"/>
          <w:color w:val="000000"/>
          <w:kern w:val="0"/>
          <w:sz w:val="21"/>
          <w:szCs w:val="21"/>
          <w:lang w:eastAsia="it-IT"/>
          <w14:ligatures w14:val="none"/>
        </w:rPr>
        <w:t> di attivarsi e di confrontarsi da pari con il governo ungherese e chiedere che il processo venga spostato in Italia e che condizioni detentive dignitose siano ripristinate immediatamente.</w:t>
      </w:r>
    </w:p>
    <w:p w14:paraId="4B27BB5B" w14:textId="77777777" w:rsidR="000D0D40" w:rsidRDefault="000D0D40"/>
    <w:sectPr w:rsidR="000D0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5432"/>
    <w:multiLevelType w:val="multilevel"/>
    <w:tmpl w:val="A89E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3104A"/>
    <w:multiLevelType w:val="multilevel"/>
    <w:tmpl w:val="4618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A25E9"/>
    <w:multiLevelType w:val="multilevel"/>
    <w:tmpl w:val="2836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161217">
    <w:abstractNumId w:val="0"/>
  </w:num>
  <w:num w:numId="2" w16cid:durableId="1151868525">
    <w:abstractNumId w:val="1"/>
  </w:num>
  <w:num w:numId="3" w16cid:durableId="1776753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7B"/>
    <w:rsid w:val="000D0D40"/>
    <w:rsid w:val="000D0EC2"/>
    <w:rsid w:val="006A6D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A3E4"/>
  <w15:chartTrackingRefBased/>
  <w15:docId w15:val="{4B3F5BED-3730-4DD3-B228-DBF8A986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8500">
      <w:bodyDiv w:val="1"/>
      <w:marLeft w:val="0"/>
      <w:marRight w:val="0"/>
      <w:marTop w:val="0"/>
      <w:marBottom w:val="0"/>
      <w:divBdr>
        <w:top w:val="none" w:sz="0" w:space="0" w:color="auto"/>
        <w:left w:val="none" w:sz="0" w:space="0" w:color="auto"/>
        <w:bottom w:val="none" w:sz="0" w:space="0" w:color="auto"/>
        <w:right w:val="none" w:sz="0" w:space="0" w:color="auto"/>
      </w:divBdr>
      <w:divsChild>
        <w:div w:id="2079211268">
          <w:marLeft w:val="0"/>
          <w:marRight w:val="0"/>
          <w:marTop w:val="150"/>
          <w:marBottom w:val="150"/>
          <w:divBdr>
            <w:top w:val="none" w:sz="0" w:space="0" w:color="auto"/>
            <w:left w:val="none" w:sz="0" w:space="0" w:color="auto"/>
            <w:bottom w:val="single" w:sz="6" w:space="0" w:color="CCCCCC"/>
            <w:right w:val="none" w:sz="0" w:space="0" w:color="auto"/>
          </w:divBdr>
          <w:divsChild>
            <w:div w:id="1778525140">
              <w:marLeft w:val="0"/>
              <w:marRight w:val="0"/>
              <w:marTop w:val="0"/>
              <w:marBottom w:val="0"/>
              <w:divBdr>
                <w:top w:val="none" w:sz="0" w:space="0" w:color="auto"/>
                <w:left w:val="none" w:sz="0" w:space="0" w:color="auto"/>
                <w:bottom w:val="none" w:sz="0" w:space="0" w:color="auto"/>
                <w:right w:val="none" w:sz="0" w:space="0" w:color="auto"/>
              </w:divBdr>
            </w:div>
          </w:divsChild>
        </w:div>
        <w:div w:id="532229483">
          <w:marLeft w:val="0"/>
          <w:marRight w:val="0"/>
          <w:marTop w:val="75"/>
          <w:marBottom w:val="150"/>
          <w:divBdr>
            <w:top w:val="none" w:sz="0" w:space="0" w:color="auto"/>
            <w:left w:val="none" w:sz="0" w:space="0" w:color="auto"/>
            <w:bottom w:val="none" w:sz="0" w:space="0" w:color="auto"/>
            <w:right w:val="none" w:sz="0" w:space="0" w:color="auto"/>
          </w:divBdr>
          <w:divsChild>
            <w:div w:id="1078475994">
              <w:marLeft w:val="0"/>
              <w:marRight w:val="0"/>
              <w:marTop w:val="45"/>
              <w:marBottom w:val="0"/>
              <w:divBdr>
                <w:top w:val="none" w:sz="0" w:space="0" w:color="auto"/>
                <w:left w:val="single" w:sz="48" w:space="0" w:color="FFFFFF"/>
                <w:bottom w:val="single" w:sz="48" w:space="0" w:color="FFFFFF"/>
                <w:right w:val="none" w:sz="0" w:space="0" w:color="auto"/>
              </w:divBdr>
              <w:divsChild>
                <w:div w:id="1903178006">
                  <w:marLeft w:val="0"/>
                  <w:marRight w:val="0"/>
                  <w:marTop w:val="0"/>
                  <w:marBottom w:val="0"/>
                  <w:divBdr>
                    <w:top w:val="single" w:sz="6" w:space="4" w:color="CCCCCC"/>
                    <w:left w:val="single" w:sz="6" w:space="4" w:color="CCCCCC"/>
                    <w:bottom w:val="single" w:sz="6" w:space="8" w:color="CCCCCC"/>
                    <w:right w:val="single" w:sz="6" w:space="4" w:color="CCCCCC"/>
                  </w:divBdr>
                </w:div>
              </w:divsChild>
            </w:div>
            <w:div w:id="30979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3223">
      <w:bodyDiv w:val="1"/>
      <w:marLeft w:val="0"/>
      <w:marRight w:val="0"/>
      <w:marTop w:val="0"/>
      <w:marBottom w:val="0"/>
      <w:divBdr>
        <w:top w:val="none" w:sz="0" w:space="0" w:color="auto"/>
        <w:left w:val="none" w:sz="0" w:space="0" w:color="auto"/>
        <w:bottom w:val="none" w:sz="0" w:space="0" w:color="auto"/>
        <w:right w:val="none" w:sz="0" w:space="0" w:color="auto"/>
      </w:divBdr>
      <w:divsChild>
        <w:div w:id="1227112042">
          <w:marLeft w:val="0"/>
          <w:marRight w:val="0"/>
          <w:marTop w:val="150"/>
          <w:marBottom w:val="150"/>
          <w:divBdr>
            <w:top w:val="none" w:sz="0" w:space="0" w:color="auto"/>
            <w:left w:val="none" w:sz="0" w:space="0" w:color="auto"/>
            <w:bottom w:val="single" w:sz="6" w:space="0" w:color="CCCCCC"/>
            <w:right w:val="none" w:sz="0" w:space="0" w:color="auto"/>
          </w:divBdr>
          <w:divsChild>
            <w:div w:id="334723536">
              <w:marLeft w:val="0"/>
              <w:marRight w:val="0"/>
              <w:marTop w:val="0"/>
              <w:marBottom w:val="0"/>
              <w:divBdr>
                <w:top w:val="none" w:sz="0" w:space="0" w:color="auto"/>
                <w:left w:val="none" w:sz="0" w:space="0" w:color="auto"/>
                <w:bottom w:val="none" w:sz="0" w:space="0" w:color="auto"/>
                <w:right w:val="none" w:sz="0" w:space="0" w:color="auto"/>
              </w:divBdr>
            </w:div>
          </w:divsChild>
        </w:div>
        <w:div w:id="2069303769">
          <w:marLeft w:val="0"/>
          <w:marRight w:val="0"/>
          <w:marTop w:val="0"/>
          <w:marBottom w:val="0"/>
          <w:divBdr>
            <w:top w:val="none" w:sz="0" w:space="0" w:color="auto"/>
            <w:left w:val="none" w:sz="0" w:space="0" w:color="auto"/>
            <w:bottom w:val="none" w:sz="0" w:space="0" w:color="auto"/>
            <w:right w:val="none" w:sz="0" w:space="0" w:color="auto"/>
          </w:divBdr>
          <w:divsChild>
            <w:div w:id="1990941492">
              <w:marLeft w:val="75"/>
              <w:marRight w:val="150"/>
              <w:marTop w:val="45"/>
              <w:marBottom w:val="75"/>
              <w:divBdr>
                <w:top w:val="none" w:sz="0" w:space="0" w:color="auto"/>
                <w:left w:val="none" w:sz="0" w:space="0" w:color="auto"/>
                <w:bottom w:val="none" w:sz="0" w:space="0" w:color="auto"/>
                <w:right w:val="none" w:sz="0" w:space="0" w:color="auto"/>
              </w:divBdr>
            </w:div>
            <w:div w:id="8533906">
              <w:marLeft w:val="300"/>
              <w:marRight w:val="150"/>
              <w:marTop w:val="75"/>
              <w:marBottom w:val="0"/>
              <w:divBdr>
                <w:top w:val="none" w:sz="0" w:space="0" w:color="auto"/>
                <w:left w:val="none" w:sz="0" w:space="0" w:color="auto"/>
                <w:bottom w:val="none" w:sz="0" w:space="0" w:color="auto"/>
                <w:right w:val="none" w:sz="0" w:space="0" w:color="auto"/>
              </w:divBdr>
            </w:div>
            <w:div w:id="1961180531">
              <w:marLeft w:val="300"/>
              <w:marRight w:val="150"/>
              <w:marTop w:val="75"/>
              <w:marBottom w:val="0"/>
              <w:divBdr>
                <w:top w:val="none" w:sz="0" w:space="0" w:color="auto"/>
                <w:left w:val="none" w:sz="0" w:space="0" w:color="auto"/>
                <w:bottom w:val="none" w:sz="0" w:space="0" w:color="auto"/>
                <w:right w:val="none" w:sz="0" w:space="0" w:color="auto"/>
              </w:divBdr>
            </w:div>
          </w:divsChild>
        </w:div>
        <w:div w:id="1518738739">
          <w:marLeft w:val="0"/>
          <w:marRight w:val="0"/>
          <w:marTop w:val="75"/>
          <w:marBottom w:val="150"/>
          <w:divBdr>
            <w:top w:val="none" w:sz="0" w:space="0" w:color="auto"/>
            <w:left w:val="none" w:sz="0" w:space="0" w:color="auto"/>
            <w:bottom w:val="none" w:sz="0" w:space="0" w:color="auto"/>
            <w:right w:val="none" w:sz="0" w:space="0" w:color="auto"/>
          </w:divBdr>
          <w:divsChild>
            <w:div w:id="193081707">
              <w:marLeft w:val="0"/>
              <w:marRight w:val="0"/>
              <w:marTop w:val="45"/>
              <w:marBottom w:val="0"/>
              <w:divBdr>
                <w:top w:val="none" w:sz="0" w:space="0" w:color="auto"/>
                <w:left w:val="single" w:sz="48" w:space="0" w:color="FFFFFF"/>
                <w:bottom w:val="single" w:sz="48" w:space="0" w:color="FFFFFF"/>
                <w:right w:val="none" w:sz="0" w:space="0" w:color="auto"/>
              </w:divBdr>
              <w:divsChild>
                <w:div w:id="1330593663">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002972970">
      <w:bodyDiv w:val="1"/>
      <w:marLeft w:val="0"/>
      <w:marRight w:val="0"/>
      <w:marTop w:val="0"/>
      <w:marBottom w:val="0"/>
      <w:divBdr>
        <w:top w:val="none" w:sz="0" w:space="0" w:color="auto"/>
        <w:left w:val="none" w:sz="0" w:space="0" w:color="auto"/>
        <w:bottom w:val="none" w:sz="0" w:space="0" w:color="auto"/>
        <w:right w:val="none" w:sz="0" w:space="0" w:color="auto"/>
      </w:divBdr>
      <w:divsChild>
        <w:div w:id="1253009221">
          <w:marLeft w:val="0"/>
          <w:marRight w:val="0"/>
          <w:marTop w:val="150"/>
          <w:marBottom w:val="150"/>
          <w:divBdr>
            <w:top w:val="none" w:sz="0" w:space="0" w:color="auto"/>
            <w:left w:val="none" w:sz="0" w:space="0" w:color="auto"/>
            <w:bottom w:val="single" w:sz="6" w:space="0" w:color="CCCCCC"/>
            <w:right w:val="none" w:sz="0" w:space="0" w:color="auto"/>
          </w:divBdr>
          <w:divsChild>
            <w:div w:id="484443822">
              <w:marLeft w:val="0"/>
              <w:marRight w:val="0"/>
              <w:marTop w:val="0"/>
              <w:marBottom w:val="0"/>
              <w:divBdr>
                <w:top w:val="none" w:sz="0" w:space="0" w:color="auto"/>
                <w:left w:val="none" w:sz="0" w:space="0" w:color="auto"/>
                <w:bottom w:val="none" w:sz="0" w:space="0" w:color="auto"/>
                <w:right w:val="none" w:sz="0" w:space="0" w:color="auto"/>
              </w:divBdr>
            </w:div>
          </w:divsChild>
        </w:div>
        <w:div w:id="1673534062">
          <w:marLeft w:val="0"/>
          <w:marRight w:val="0"/>
          <w:marTop w:val="0"/>
          <w:marBottom w:val="0"/>
          <w:divBdr>
            <w:top w:val="none" w:sz="0" w:space="0" w:color="auto"/>
            <w:left w:val="none" w:sz="0" w:space="0" w:color="auto"/>
            <w:bottom w:val="none" w:sz="0" w:space="0" w:color="auto"/>
            <w:right w:val="none" w:sz="0" w:space="0" w:color="auto"/>
          </w:divBdr>
          <w:divsChild>
            <w:div w:id="1499924762">
              <w:marLeft w:val="75"/>
              <w:marRight w:val="150"/>
              <w:marTop w:val="45"/>
              <w:marBottom w:val="75"/>
              <w:divBdr>
                <w:top w:val="none" w:sz="0" w:space="0" w:color="auto"/>
                <w:left w:val="none" w:sz="0" w:space="0" w:color="auto"/>
                <w:bottom w:val="none" w:sz="0" w:space="0" w:color="auto"/>
                <w:right w:val="none" w:sz="0" w:space="0" w:color="auto"/>
              </w:divBdr>
            </w:div>
            <w:div w:id="787088001">
              <w:marLeft w:val="300"/>
              <w:marRight w:val="150"/>
              <w:marTop w:val="75"/>
              <w:marBottom w:val="0"/>
              <w:divBdr>
                <w:top w:val="none" w:sz="0" w:space="0" w:color="auto"/>
                <w:left w:val="none" w:sz="0" w:space="0" w:color="auto"/>
                <w:bottom w:val="none" w:sz="0" w:space="0" w:color="auto"/>
                <w:right w:val="none" w:sz="0" w:space="0" w:color="auto"/>
              </w:divBdr>
            </w:div>
            <w:div w:id="144666251">
              <w:marLeft w:val="300"/>
              <w:marRight w:val="150"/>
              <w:marTop w:val="75"/>
              <w:marBottom w:val="0"/>
              <w:divBdr>
                <w:top w:val="none" w:sz="0" w:space="0" w:color="auto"/>
                <w:left w:val="none" w:sz="0" w:space="0" w:color="auto"/>
                <w:bottom w:val="none" w:sz="0" w:space="0" w:color="auto"/>
                <w:right w:val="none" w:sz="0" w:space="0" w:color="auto"/>
              </w:divBdr>
            </w:div>
          </w:divsChild>
        </w:div>
        <w:div w:id="1873372656">
          <w:marLeft w:val="0"/>
          <w:marRight w:val="0"/>
          <w:marTop w:val="75"/>
          <w:marBottom w:val="150"/>
          <w:divBdr>
            <w:top w:val="none" w:sz="0" w:space="0" w:color="auto"/>
            <w:left w:val="none" w:sz="0" w:space="0" w:color="auto"/>
            <w:bottom w:val="none" w:sz="0" w:space="0" w:color="auto"/>
            <w:right w:val="none" w:sz="0" w:space="0" w:color="auto"/>
          </w:divBdr>
        </w:div>
      </w:divsChild>
    </w:div>
    <w:div w:id="1257716693">
      <w:bodyDiv w:val="1"/>
      <w:marLeft w:val="0"/>
      <w:marRight w:val="0"/>
      <w:marTop w:val="0"/>
      <w:marBottom w:val="0"/>
      <w:divBdr>
        <w:top w:val="none" w:sz="0" w:space="0" w:color="auto"/>
        <w:left w:val="none" w:sz="0" w:space="0" w:color="auto"/>
        <w:bottom w:val="none" w:sz="0" w:space="0" w:color="auto"/>
        <w:right w:val="none" w:sz="0" w:space="0" w:color="auto"/>
      </w:divBdr>
      <w:divsChild>
        <w:div w:id="123041487">
          <w:marLeft w:val="0"/>
          <w:marRight w:val="0"/>
          <w:marTop w:val="150"/>
          <w:marBottom w:val="150"/>
          <w:divBdr>
            <w:top w:val="none" w:sz="0" w:space="0" w:color="auto"/>
            <w:left w:val="none" w:sz="0" w:space="0" w:color="auto"/>
            <w:bottom w:val="single" w:sz="6" w:space="0" w:color="CCCCCC"/>
            <w:right w:val="none" w:sz="0" w:space="0" w:color="auto"/>
          </w:divBdr>
          <w:divsChild>
            <w:div w:id="518468642">
              <w:marLeft w:val="0"/>
              <w:marRight w:val="0"/>
              <w:marTop w:val="0"/>
              <w:marBottom w:val="0"/>
              <w:divBdr>
                <w:top w:val="none" w:sz="0" w:space="0" w:color="auto"/>
                <w:left w:val="none" w:sz="0" w:space="0" w:color="auto"/>
                <w:bottom w:val="none" w:sz="0" w:space="0" w:color="auto"/>
                <w:right w:val="none" w:sz="0" w:space="0" w:color="auto"/>
              </w:divBdr>
            </w:div>
          </w:divsChild>
        </w:div>
        <w:div w:id="386487990">
          <w:marLeft w:val="0"/>
          <w:marRight w:val="0"/>
          <w:marTop w:val="0"/>
          <w:marBottom w:val="0"/>
          <w:divBdr>
            <w:top w:val="none" w:sz="0" w:space="0" w:color="auto"/>
            <w:left w:val="none" w:sz="0" w:space="0" w:color="auto"/>
            <w:bottom w:val="none" w:sz="0" w:space="0" w:color="auto"/>
            <w:right w:val="none" w:sz="0" w:space="0" w:color="auto"/>
          </w:divBdr>
          <w:divsChild>
            <w:div w:id="107824679">
              <w:marLeft w:val="75"/>
              <w:marRight w:val="150"/>
              <w:marTop w:val="45"/>
              <w:marBottom w:val="75"/>
              <w:divBdr>
                <w:top w:val="none" w:sz="0" w:space="0" w:color="auto"/>
                <w:left w:val="none" w:sz="0" w:space="0" w:color="auto"/>
                <w:bottom w:val="none" w:sz="0" w:space="0" w:color="auto"/>
                <w:right w:val="none" w:sz="0" w:space="0" w:color="auto"/>
              </w:divBdr>
            </w:div>
            <w:div w:id="1520118436">
              <w:marLeft w:val="300"/>
              <w:marRight w:val="150"/>
              <w:marTop w:val="75"/>
              <w:marBottom w:val="0"/>
              <w:divBdr>
                <w:top w:val="none" w:sz="0" w:space="0" w:color="auto"/>
                <w:left w:val="none" w:sz="0" w:space="0" w:color="auto"/>
                <w:bottom w:val="none" w:sz="0" w:space="0" w:color="auto"/>
                <w:right w:val="none" w:sz="0" w:space="0" w:color="auto"/>
              </w:divBdr>
            </w:div>
            <w:div w:id="1735471605">
              <w:marLeft w:val="300"/>
              <w:marRight w:val="150"/>
              <w:marTop w:val="75"/>
              <w:marBottom w:val="0"/>
              <w:divBdr>
                <w:top w:val="none" w:sz="0" w:space="0" w:color="auto"/>
                <w:left w:val="none" w:sz="0" w:space="0" w:color="auto"/>
                <w:bottom w:val="none" w:sz="0" w:space="0" w:color="auto"/>
                <w:right w:val="none" w:sz="0" w:space="0" w:color="auto"/>
              </w:divBdr>
            </w:div>
          </w:divsChild>
        </w:div>
        <w:div w:id="305550417">
          <w:marLeft w:val="0"/>
          <w:marRight w:val="0"/>
          <w:marTop w:val="75"/>
          <w:marBottom w:val="150"/>
          <w:divBdr>
            <w:top w:val="none" w:sz="0" w:space="0" w:color="auto"/>
            <w:left w:val="none" w:sz="0" w:space="0" w:color="auto"/>
            <w:bottom w:val="none" w:sz="0" w:space="0" w:color="auto"/>
            <w:right w:val="none" w:sz="0" w:space="0" w:color="auto"/>
          </w:divBdr>
          <w:divsChild>
            <w:div w:id="208960498">
              <w:marLeft w:val="0"/>
              <w:marRight w:val="0"/>
              <w:marTop w:val="45"/>
              <w:marBottom w:val="0"/>
              <w:divBdr>
                <w:top w:val="none" w:sz="0" w:space="0" w:color="auto"/>
                <w:left w:val="single" w:sz="48" w:space="0" w:color="FFFFFF"/>
                <w:bottom w:val="single" w:sz="48" w:space="0" w:color="FFFFFF"/>
                <w:right w:val="none" w:sz="0" w:space="0" w:color="auto"/>
              </w:divBdr>
              <w:divsChild>
                <w:div w:id="1908874869">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623999431">
      <w:bodyDiv w:val="1"/>
      <w:marLeft w:val="0"/>
      <w:marRight w:val="0"/>
      <w:marTop w:val="0"/>
      <w:marBottom w:val="0"/>
      <w:divBdr>
        <w:top w:val="none" w:sz="0" w:space="0" w:color="auto"/>
        <w:left w:val="none" w:sz="0" w:space="0" w:color="auto"/>
        <w:bottom w:val="none" w:sz="0" w:space="0" w:color="auto"/>
        <w:right w:val="none" w:sz="0" w:space="0" w:color="auto"/>
      </w:divBdr>
      <w:divsChild>
        <w:div w:id="105660995">
          <w:marLeft w:val="0"/>
          <w:marRight w:val="0"/>
          <w:marTop w:val="150"/>
          <w:marBottom w:val="150"/>
          <w:divBdr>
            <w:top w:val="none" w:sz="0" w:space="0" w:color="auto"/>
            <w:left w:val="none" w:sz="0" w:space="0" w:color="auto"/>
            <w:bottom w:val="single" w:sz="6" w:space="0" w:color="CCCCCC"/>
            <w:right w:val="none" w:sz="0" w:space="0" w:color="auto"/>
          </w:divBdr>
          <w:divsChild>
            <w:div w:id="587083876">
              <w:marLeft w:val="0"/>
              <w:marRight w:val="0"/>
              <w:marTop w:val="0"/>
              <w:marBottom w:val="0"/>
              <w:divBdr>
                <w:top w:val="none" w:sz="0" w:space="0" w:color="auto"/>
                <w:left w:val="none" w:sz="0" w:space="0" w:color="auto"/>
                <w:bottom w:val="none" w:sz="0" w:space="0" w:color="auto"/>
                <w:right w:val="none" w:sz="0" w:space="0" w:color="auto"/>
              </w:divBdr>
            </w:div>
          </w:divsChild>
        </w:div>
        <w:div w:id="1236815545">
          <w:marLeft w:val="0"/>
          <w:marRight w:val="0"/>
          <w:marTop w:val="0"/>
          <w:marBottom w:val="0"/>
          <w:divBdr>
            <w:top w:val="none" w:sz="0" w:space="0" w:color="auto"/>
            <w:left w:val="none" w:sz="0" w:space="0" w:color="auto"/>
            <w:bottom w:val="none" w:sz="0" w:space="0" w:color="auto"/>
            <w:right w:val="none" w:sz="0" w:space="0" w:color="auto"/>
          </w:divBdr>
          <w:divsChild>
            <w:div w:id="762608545">
              <w:marLeft w:val="75"/>
              <w:marRight w:val="150"/>
              <w:marTop w:val="45"/>
              <w:marBottom w:val="75"/>
              <w:divBdr>
                <w:top w:val="none" w:sz="0" w:space="0" w:color="auto"/>
                <w:left w:val="none" w:sz="0" w:space="0" w:color="auto"/>
                <w:bottom w:val="none" w:sz="0" w:space="0" w:color="auto"/>
                <w:right w:val="none" w:sz="0" w:space="0" w:color="auto"/>
              </w:divBdr>
            </w:div>
            <w:div w:id="103505503">
              <w:marLeft w:val="300"/>
              <w:marRight w:val="150"/>
              <w:marTop w:val="75"/>
              <w:marBottom w:val="0"/>
              <w:divBdr>
                <w:top w:val="none" w:sz="0" w:space="0" w:color="auto"/>
                <w:left w:val="none" w:sz="0" w:space="0" w:color="auto"/>
                <w:bottom w:val="none" w:sz="0" w:space="0" w:color="auto"/>
                <w:right w:val="none" w:sz="0" w:space="0" w:color="auto"/>
              </w:divBdr>
            </w:div>
            <w:div w:id="66848503">
              <w:marLeft w:val="300"/>
              <w:marRight w:val="150"/>
              <w:marTop w:val="75"/>
              <w:marBottom w:val="0"/>
              <w:divBdr>
                <w:top w:val="none" w:sz="0" w:space="0" w:color="auto"/>
                <w:left w:val="none" w:sz="0" w:space="0" w:color="auto"/>
                <w:bottom w:val="none" w:sz="0" w:space="0" w:color="auto"/>
                <w:right w:val="none" w:sz="0" w:space="0" w:color="auto"/>
              </w:divBdr>
            </w:div>
          </w:divsChild>
        </w:div>
        <w:div w:id="654997064">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attualita/piano-nazionale-ripresa-resilienza/pnrr-cgil-e-flc-ripristinare-relazioni-sindacali-applicare-contratto-potenziare-organici-no-riduzione-offerta-formativa.flc" TargetMode="External"/><Relationship Id="rId13" Type="http://schemas.openxmlformats.org/officeDocument/2006/relationships/hyperlink" Target="https://commission.europa.eu/document/db44e228-db4e-43f5-99ce-17ca3f2f2933_en?prefLang=it" TargetMode="External"/><Relationship Id="rId3" Type="http://schemas.openxmlformats.org/officeDocument/2006/relationships/settings" Target="settings.xml"/><Relationship Id="rId7" Type="http://schemas.openxmlformats.org/officeDocument/2006/relationships/hyperlink" Target="https://www.senato.it/japp/bgt/showdoc/19/Resaula/0/1404279/index.html?part=doc_dc-ressten_rs-ddltit_deacmdddl924idfftp" TargetMode="External"/><Relationship Id="rId12" Type="http://schemas.openxmlformats.org/officeDocument/2006/relationships/hyperlink" Target="https://www.flcgil.it/attualita/stesso-paese-stessi-diritti-camper-per-unire-italia-video.f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cgil.it/scuola/filiera-tecnologico-professionale-approvato-senato-disegno-di-legge-924.flc" TargetMode="External"/><Relationship Id="rId11" Type="http://schemas.openxmlformats.org/officeDocument/2006/relationships/hyperlink" Target="https://www.flcgil.it/scuola/sperimentazione-filiera-tecnologico-professionale-flc-cgil-prodotto-istanza-accesso-atti.flc" TargetMode="External"/><Relationship Id="rId5" Type="http://schemas.openxmlformats.org/officeDocument/2006/relationships/hyperlink" Target="https://www.flcgil.it/scuola/filiera-tecnologico-professionale-il-testo-del-ddl-approda-al-senato.flc" TargetMode="External"/><Relationship Id="rId15" Type="http://schemas.openxmlformats.org/officeDocument/2006/relationships/theme" Target="theme/theme1.xml"/><Relationship Id="rId10" Type="http://schemas.openxmlformats.org/officeDocument/2006/relationships/hyperlink" Target="https://www.flcgil.it/scuola/scuola-flop-filiera-tecnologico-professionale-valditara.flc" TargetMode="External"/><Relationship Id="rId4" Type="http://schemas.openxmlformats.org/officeDocument/2006/relationships/webSettings" Target="webSettings.xml"/><Relationship Id="rId9" Type="http://schemas.openxmlformats.org/officeDocument/2006/relationships/hyperlink" Target="https://www.flcgil.it/scuola/sperimentazione-filiera-formativa-tecnologico-professionale-cspi-boccia-provvedimento.flc"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2000</Words>
  <Characters>11401</Characters>
  <Application>Microsoft Office Word</Application>
  <DocSecurity>0</DocSecurity>
  <Lines>95</Lines>
  <Paragraphs>26</Paragraphs>
  <ScaleCrop>false</ScaleCrop>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1</cp:revision>
  <dcterms:created xsi:type="dcterms:W3CDTF">2024-02-02T17:18:00Z</dcterms:created>
  <dcterms:modified xsi:type="dcterms:W3CDTF">2024-02-02T17:26:00Z</dcterms:modified>
</cp:coreProperties>
</file>