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0A96" w14:textId="77777777" w:rsidR="00D35048" w:rsidRPr="00577B0C" w:rsidRDefault="00D35048" w:rsidP="00D35048">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577B0C">
        <w:rPr>
          <w:rFonts w:ascii="Tahoma" w:eastAsia="Times New Roman" w:hAnsi="Tahoma" w:cs="Tahoma"/>
          <w:color w:val="DC3B33"/>
          <w:kern w:val="36"/>
          <w:sz w:val="45"/>
          <w:szCs w:val="45"/>
          <w:lang w:eastAsia="it-IT"/>
          <w14:ligatures w14:val="none"/>
        </w:rPr>
        <w:t>Sperimentazione filiera tecnologico-professionale: lo strano caso dell’Istituto Carlo Porta di Milano</w:t>
      </w:r>
    </w:p>
    <w:p w14:paraId="24AEE4E0" w14:textId="77777777" w:rsidR="00D35048" w:rsidRPr="00577B0C" w:rsidRDefault="00D35048" w:rsidP="00D350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77B0C">
        <w:rPr>
          <w:rFonts w:ascii="Arial" w:eastAsia="Times New Roman" w:hAnsi="Arial" w:cs="Arial"/>
          <w:color w:val="535353"/>
          <w:kern w:val="0"/>
          <w:sz w:val="27"/>
          <w:szCs w:val="27"/>
          <w:lang w:eastAsia="it-IT"/>
          <w14:ligatures w14:val="none"/>
        </w:rPr>
        <w:t>La democrazia scolastica buttata alle ortiche, la scelta motivata di un collegio declassato ad un capriccio. Impugneremo la decisione unilaterale nelle sedi competenti</w:t>
      </w:r>
    </w:p>
    <w:p w14:paraId="648F2AAF" w14:textId="77777777" w:rsidR="00D35048" w:rsidRPr="00577B0C" w:rsidRDefault="00D35048" w:rsidP="00D35048">
      <w:pPr>
        <w:shd w:val="clear" w:color="auto" w:fill="FFFFFF"/>
        <w:spacing w:after="0" w:line="240" w:lineRule="auto"/>
        <w:rPr>
          <w:rFonts w:ascii="Arial" w:eastAsia="Times New Roman" w:hAnsi="Arial" w:cs="Arial"/>
          <w:color w:val="4D4D4D"/>
          <w:kern w:val="0"/>
          <w:sz w:val="21"/>
          <w:szCs w:val="21"/>
          <w:lang w:eastAsia="it-IT"/>
          <w14:ligatures w14:val="none"/>
        </w:rPr>
      </w:pPr>
      <w:r w:rsidRPr="00577B0C">
        <w:rPr>
          <w:rFonts w:ascii="Arial" w:eastAsia="Times New Roman" w:hAnsi="Arial" w:cs="Arial"/>
          <w:b/>
          <w:bCs/>
          <w:color w:val="4D4D4D"/>
          <w:kern w:val="0"/>
          <w:sz w:val="21"/>
          <w:szCs w:val="21"/>
          <w:lang w:eastAsia="it-IT"/>
          <w14:ligatures w14:val="none"/>
        </w:rPr>
        <w:t>05/01/2024</w:t>
      </w:r>
    </w:p>
    <w:p w14:paraId="63655616" w14:textId="77777777" w:rsidR="00D35048" w:rsidRDefault="00D35048" w:rsidP="00D35048">
      <w:pPr>
        <w:shd w:val="clear" w:color="auto" w:fill="FFFFFF"/>
        <w:spacing w:after="225" w:line="240" w:lineRule="auto"/>
        <w:jc w:val="both"/>
        <w:rPr>
          <w:rFonts w:ascii="Arial" w:eastAsia="Times New Roman" w:hAnsi="Arial" w:cs="Arial"/>
          <w:i/>
          <w:iCs/>
          <w:color w:val="000000"/>
          <w:kern w:val="0"/>
          <w:sz w:val="21"/>
          <w:szCs w:val="21"/>
          <w:lang w:eastAsia="it-IT"/>
          <w14:ligatures w14:val="none"/>
        </w:rPr>
      </w:pPr>
    </w:p>
    <w:p w14:paraId="41A47404"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i/>
          <w:iCs/>
          <w:color w:val="000000"/>
          <w:kern w:val="0"/>
          <w:sz w:val="21"/>
          <w:szCs w:val="21"/>
          <w:lang w:eastAsia="it-IT"/>
          <w14:ligatures w14:val="none"/>
        </w:rPr>
        <w:t>A cura della FLC CGIL Milano</w:t>
      </w:r>
    </w:p>
    <w:p w14:paraId="5D03981D"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La </w:t>
      </w:r>
      <w:hyperlink r:id="rId5" w:tgtFrame="_blank" w:history="1">
        <w:r w:rsidRPr="00577B0C">
          <w:rPr>
            <w:rFonts w:ascii="Arial" w:eastAsia="Times New Roman" w:hAnsi="Arial" w:cs="Arial"/>
            <w:color w:val="005EB3"/>
            <w:kern w:val="0"/>
            <w:sz w:val="21"/>
            <w:szCs w:val="21"/>
            <w:lang w:eastAsia="it-IT"/>
            <w14:ligatures w14:val="none"/>
          </w:rPr>
          <w:t>riforma della filiera tecnologico-professionale</w:t>
        </w:r>
      </w:hyperlink>
      <w:r w:rsidRPr="00577B0C">
        <w:rPr>
          <w:rFonts w:ascii="Arial" w:eastAsia="Times New Roman" w:hAnsi="Arial" w:cs="Arial"/>
          <w:color w:val="000000"/>
          <w:kern w:val="0"/>
          <w:sz w:val="21"/>
          <w:szCs w:val="21"/>
          <w:lang w:eastAsia="it-IT"/>
          <w14:ligatures w14:val="none"/>
        </w:rPr>
        <w:t xml:space="preserve"> è piombata sulla scuola come una bomba. Senza confronto con chi ci lavora o ci studia, senza un vero ragionamento sul futuro della scuola come strumento di crescita dell’individuo e della collettività, così come la Costituzione vorrebbe. Nonostante il parere negativo del Consiglio Superiore della Pubblica Istruzione, il Ministro procede e accorcia a 4 gli anni di studio, senza spiegare come saranno distribuire le 1.056 ore dell’ultimo anno nei quattro anni precedenti e quali saranno le conseguenze sugli organici dei docenti. Regionalizza l’istruzione, piegando il progetto formativo delle scuole alle esigenze delle imprese del territorio e mettendo gli "imprenditori" in cattedra come se la scuola fosse una puntata di un talent. Perché orami la scuola è questo, una vetrina per il Ministro di turno che con proposte astruse, ma tutte prostrate alle necessità delle imprese, ha la scusa per dimenticare tutto il resto dei problemi della scuola: stipendi bassi, strutture fatiscenti, precariato cronico, organici insufficienti, </w:t>
      </w:r>
      <w:proofErr w:type="gramStart"/>
      <w:r w:rsidRPr="00577B0C">
        <w:rPr>
          <w:rFonts w:ascii="Arial" w:eastAsia="Times New Roman" w:hAnsi="Arial" w:cs="Arial"/>
          <w:color w:val="000000"/>
          <w:kern w:val="0"/>
          <w:sz w:val="21"/>
          <w:szCs w:val="21"/>
          <w:lang w:eastAsia="it-IT"/>
          <w14:ligatures w14:val="none"/>
        </w:rPr>
        <w:t>ecc..</w:t>
      </w:r>
      <w:proofErr w:type="gramEnd"/>
    </w:p>
    <w:p w14:paraId="6DEF887E"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Chi lavora nella scuola e ha la responsabilità di portare allieve e allievi a realizzare pienamente loro stessi attraverso la scuola, non si lascia abbagliare da mirabolanti propagande e infatti la maggioranza degli istituti professionali della città metropolitana di Milano ha bocciato l’adesione alla prima fase della riforma, chiamata "sperimentazione". Lo hanno fatto dopo attenta valutazione, perché ritengono che questa riforma leda il diritto di ogni studente a scegliere il proprio futuro accademico in ogni fase del percorso di studi e depauperi il piano di studi dell’istruzione professionale e tecnologica introducendo di fatto l’apprendistato senza retribuzione (ripristinando centinaia di ore di alternanza scuola lavoro) e mettendo in cattedra imprenditori che non hanno i requisiti per insegnare.</w:t>
      </w:r>
      <w:r w:rsidRPr="00577B0C">
        <w:rPr>
          <w:rFonts w:ascii="Arial" w:eastAsia="Times New Roman" w:hAnsi="Arial" w:cs="Arial"/>
          <w:color w:val="000000"/>
          <w:kern w:val="0"/>
          <w:sz w:val="21"/>
          <w:szCs w:val="21"/>
          <w:lang w:eastAsia="it-IT"/>
          <w14:ligatures w14:val="none"/>
        </w:rPr>
        <w:br/>
        <w:t>Così è accaduto anche all’Istituto Carlo Porta di Milano.</w:t>
      </w:r>
    </w:p>
    <w:p w14:paraId="1954428F"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b/>
          <w:bCs/>
          <w:color w:val="000000"/>
          <w:kern w:val="0"/>
          <w:sz w:val="21"/>
          <w:szCs w:val="21"/>
          <w:lang w:eastAsia="it-IT"/>
          <w14:ligatures w14:val="none"/>
        </w:rPr>
        <w:t>Il collegio docenti il 30 novembre boccia a larghissima maggioranza l’adesione alla filiera formativa tecnologica-professionale, delibera quadriennale + ITS: 95 contrari, 22 favorevoli e 19 astenuti.</w:t>
      </w:r>
    </w:p>
    <w:p w14:paraId="508A3A4B"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La Dirigente allora pochi giorni dopo, il 13 dicembre, “invita” tutti i docenti a partecipare ad un confronto sul tema della sperimentazione, per fare questo interrompe le lezioni prima del termine, mandando a casa gli studenti e le studentesse. L’interruzione delle lezioni avviene senza che vi fossero motivi di urgenza e gravità, mentre i docenti sono tenuti a fermarsi per un’attività non deliberata.</w:t>
      </w:r>
      <w:r w:rsidRPr="00577B0C">
        <w:rPr>
          <w:rFonts w:ascii="Arial" w:eastAsia="Times New Roman" w:hAnsi="Arial" w:cs="Arial"/>
          <w:color w:val="000000"/>
          <w:kern w:val="0"/>
          <w:sz w:val="21"/>
          <w:szCs w:val="21"/>
          <w:lang w:eastAsia="it-IT"/>
          <w14:ligatures w14:val="none"/>
        </w:rPr>
        <w:br/>
        <w:t>Il 19 dicembre viene convocato un collegio straordinario nel quale si discute nuovamente della riforma.</w:t>
      </w:r>
      <w:r w:rsidRPr="00577B0C">
        <w:rPr>
          <w:rFonts w:ascii="Arial" w:eastAsia="Times New Roman" w:hAnsi="Arial" w:cs="Arial"/>
          <w:color w:val="000000"/>
          <w:kern w:val="0"/>
          <w:sz w:val="21"/>
          <w:szCs w:val="21"/>
          <w:lang w:eastAsia="it-IT"/>
          <w14:ligatures w14:val="none"/>
        </w:rPr>
        <w:br/>
        <w:t>Ma come non si era discusso il 13 dicembre?</w:t>
      </w:r>
    </w:p>
    <w:p w14:paraId="61EB40FC"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La Dirigente, evidentemente non si rassegna e convoca il 20 dicembre, un Consiglio di Istituto con all’ordine del giorno "Delibera ampliamento offerta formativa con nuovi indirizzi anche sperimentali".</w:t>
      </w:r>
      <w:r w:rsidRPr="00577B0C">
        <w:rPr>
          <w:rFonts w:ascii="Arial" w:eastAsia="Times New Roman" w:hAnsi="Arial" w:cs="Arial"/>
          <w:color w:val="000000"/>
          <w:kern w:val="0"/>
          <w:sz w:val="21"/>
          <w:szCs w:val="21"/>
          <w:lang w:eastAsia="it-IT"/>
          <w14:ligatures w14:val="none"/>
        </w:rPr>
        <w:br/>
      </w:r>
      <w:r w:rsidRPr="00577B0C">
        <w:rPr>
          <w:rFonts w:ascii="Arial" w:eastAsia="Times New Roman" w:hAnsi="Arial" w:cs="Arial"/>
          <w:b/>
          <w:bCs/>
          <w:color w:val="000000"/>
          <w:kern w:val="0"/>
          <w:sz w:val="21"/>
          <w:szCs w:val="21"/>
          <w:lang w:eastAsia="it-IT"/>
          <w14:ligatures w14:val="none"/>
        </w:rPr>
        <w:t>Una delibera general generica</w:t>
      </w:r>
      <w:r w:rsidRPr="00577B0C">
        <w:rPr>
          <w:rFonts w:ascii="Arial" w:eastAsia="Times New Roman" w:hAnsi="Arial" w:cs="Arial"/>
          <w:color w:val="000000"/>
          <w:kern w:val="0"/>
          <w:sz w:val="21"/>
          <w:szCs w:val="21"/>
          <w:lang w:eastAsia="it-IT"/>
          <w14:ligatures w14:val="none"/>
        </w:rPr>
        <w:t> a cui comunque parte dei membri si oppongono, mettendolo a verbale, proprio per l’inconsistenza formale ma al contempo la pericolosità di tale decisione. Nel Consiglio d’Istituto è presente una componente genitori e studenti e ci chiediamo rispetto ad una votazione così generica se fossero a conoscenza della complessità della riforma. La delibera passa di stretta maggioranza con 6 voti favorevoli, 2 contrari e 4 astenuti.</w:t>
      </w:r>
    </w:p>
    <w:p w14:paraId="1928F969"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 xml:space="preserve">A questo punto la Dirigente convoca il 22 dicembre un nuovo collegio, anche questo è straordinario e senza il rispetto dei tempi e del piano di lavoro già deliberato, nel collegio si propone di votare due </w:t>
      </w:r>
      <w:r w:rsidRPr="00577B0C">
        <w:rPr>
          <w:rFonts w:ascii="Arial" w:eastAsia="Times New Roman" w:hAnsi="Arial" w:cs="Arial"/>
          <w:color w:val="000000"/>
          <w:kern w:val="0"/>
          <w:sz w:val="21"/>
          <w:szCs w:val="21"/>
          <w:lang w:eastAsia="it-IT"/>
          <w14:ligatures w14:val="none"/>
        </w:rPr>
        <w:lastRenderedPageBreak/>
        <w:t>proposte di percorso sperimentazione di adesione alla riforma della filiera tecnologico professionale, dando per scontato che i docenti fossero d’accordo con la sperimentazione. La proposta 1 prevede 2 anni +2 anni e la proposta 2 prevede 1 anno + 3 anni.</w:t>
      </w:r>
      <w:r w:rsidRPr="00577B0C">
        <w:rPr>
          <w:rFonts w:ascii="Arial" w:eastAsia="Times New Roman" w:hAnsi="Arial" w:cs="Arial"/>
          <w:color w:val="000000"/>
          <w:kern w:val="0"/>
          <w:sz w:val="21"/>
          <w:szCs w:val="21"/>
          <w:lang w:eastAsia="it-IT"/>
          <w14:ligatures w14:val="none"/>
        </w:rPr>
        <w:br/>
      </w:r>
      <w:r w:rsidRPr="00577B0C">
        <w:rPr>
          <w:rFonts w:ascii="Arial" w:eastAsia="Times New Roman" w:hAnsi="Arial" w:cs="Arial"/>
          <w:b/>
          <w:bCs/>
          <w:color w:val="000000"/>
          <w:kern w:val="0"/>
          <w:sz w:val="21"/>
          <w:szCs w:val="21"/>
          <w:lang w:eastAsia="it-IT"/>
          <w14:ligatures w14:val="none"/>
        </w:rPr>
        <w:t>Prendere o lasciare, in barba alla precedente decisione del Collegio del 30 novembre.</w:t>
      </w:r>
    </w:p>
    <w:p w14:paraId="53F50045"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 xml:space="preserve">Prima della votazione viene presentato, a firma di decine di docenti, </w:t>
      </w:r>
      <w:proofErr w:type="spellStart"/>
      <w:r w:rsidRPr="00577B0C">
        <w:rPr>
          <w:rFonts w:ascii="Arial" w:eastAsia="Times New Roman" w:hAnsi="Arial" w:cs="Arial"/>
          <w:color w:val="000000"/>
          <w:kern w:val="0"/>
          <w:sz w:val="21"/>
          <w:szCs w:val="21"/>
          <w:lang w:eastAsia="it-IT"/>
          <w14:ligatures w14:val="none"/>
        </w:rPr>
        <w:t>un’ordine</w:t>
      </w:r>
      <w:proofErr w:type="spellEnd"/>
      <w:r w:rsidRPr="00577B0C">
        <w:rPr>
          <w:rFonts w:ascii="Arial" w:eastAsia="Times New Roman" w:hAnsi="Arial" w:cs="Arial"/>
          <w:color w:val="000000"/>
          <w:kern w:val="0"/>
          <w:sz w:val="21"/>
          <w:szCs w:val="21"/>
          <w:lang w:eastAsia="it-IT"/>
          <w14:ligatures w14:val="none"/>
        </w:rPr>
        <w:t xml:space="preserve"> del giorno, in cui esprimono sconcerto per la richiesta di mettere ai voti due proposte di una sperimentazione che è stata discussa e respinta. Ritengono quindi illegittima quella richiesta di nuova delibera collegiale, di conseguenza la votazione e ogni decisione che ne deriverebbe. La Dirigente comunica che non accetterà una dichiarazione di non voto, alla faccia della vita democratica della scuola.</w:t>
      </w:r>
    </w:p>
    <w:p w14:paraId="791829B6"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Si decide allora di votare le due proposte. La votazione infine avviene e ha questo esito:</w:t>
      </w:r>
    </w:p>
    <w:p w14:paraId="2F05125F" w14:textId="77777777" w:rsidR="00D35048" w:rsidRPr="00577B0C" w:rsidRDefault="00D35048" w:rsidP="00D35048">
      <w:pPr>
        <w:numPr>
          <w:ilvl w:val="0"/>
          <w:numId w:val="7"/>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77B0C">
        <w:rPr>
          <w:rFonts w:ascii="Arial" w:eastAsia="Times New Roman" w:hAnsi="Arial" w:cs="Arial"/>
          <w:color w:val="000000"/>
          <w:kern w:val="0"/>
          <w:sz w:val="23"/>
          <w:szCs w:val="23"/>
          <w:lang w:eastAsia="it-IT"/>
          <w14:ligatures w14:val="none"/>
        </w:rPr>
        <w:t>Proposta 1 voti contrari 91, astenuti 6, favorevoli 22.</w:t>
      </w:r>
    </w:p>
    <w:p w14:paraId="709E85AC" w14:textId="77777777" w:rsidR="00D35048" w:rsidRPr="00577B0C" w:rsidRDefault="00D35048" w:rsidP="00D35048">
      <w:pPr>
        <w:numPr>
          <w:ilvl w:val="0"/>
          <w:numId w:val="7"/>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77B0C">
        <w:rPr>
          <w:rFonts w:ascii="Arial" w:eastAsia="Times New Roman" w:hAnsi="Arial" w:cs="Arial"/>
          <w:color w:val="000000"/>
          <w:kern w:val="0"/>
          <w:sz w:val="23"/>
          <w:szCs w:val="23"/>
          <w:lang w:eastAsia="it-IT"/>
          <w14:ligatures w14:val="none"/>
        </w:rPr>
        <w:t>Proposta 2 voti contrari 91, astenuti 16, favorevoli 8.</w:t>
      </w:r>
    </w:p>
    <w:p w14:paraId="0C7B1C69"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b/>
          <w:bCs/>
          <w:color w:val="000000"/>
          <w:kern w:val="0"/>
          <w:sz w:val="21"/>
          <w:szCs w:val="21"/>
          <w:lang w:eastAsia="it-IT"/>
          <w14:ligatures w14:val="none"/>
        </w:rPr>
        <w:t>Nonostante la larga maggioranza dei voti contrari viene fatta passare la proposta 1.</w:t>
      </w:r>
      <w:r w:rsidRPr="00577B0C">
        <w:rPr>
          <w:rFonts w:ascii="Arial" w:eastAsia="Times New Roman" w:hAnsi="Arial" w:cs="Arial"/>
          <w:color w:val="000000"/>
          <w:kern w:val="0"/>
          <w:sz w:val="21"/>
          <w:szCs w:val="21"/>
          <w:lang w:eastAsia="it-IT"/>
          <w14:ligatures w14:val="none"/>
        </w:rPr>
        <w:br/>
      </w:r>
      <w:r w:rsidRPr="00577B0C">
        <w:rPr>
          <w:rFonts w:ascii="Arial" w:eastAsia="Times New Roman" w:hAnsi="Arial" w:cs="Arial"/>
          <w:b/>
          <w:bCs/>
          <w:color w:val="000000"/>
          <w:kern w:val="0"/>
          <w:sz w:val="21"/>
          <w:szCs w:val="21"/>
          <w:lang w:eastAsia="it-IT"/>
          <w14:ligatures w14:val="none"/>
        </w:rPr>
        <w:t>Ma com’è possibile se la maggioranza dei voti si è espressa contraria su tutte e due le proposte?</w:t>
      </w:r>
      <w:r w:rsidRPr="00577B0C">
        <w:rPr>
          <w:rFonts w:ascii="Arial" w:eastAsia="Times New Roman" w:hAnsi="Arial" w:cs="Arial"/>
          <w:color w:val="000000"/>
          <w:kern w:val="0"/>
          <w:sz w:val="21"/>
          <w:szCs w:val="21"/>
          <w:lang w:eastAsia="it-IT"/>
          <w14:ligatures w14:val="none"/>
        </w:rPr>
        <w:br/>
        <w:t>E via ad annunciarlo ai giornali con tanto di visi sorridenti e soddisfatti.</w:t>
      </w:r>
    </w:p>
    <w:p w14:paraId="69FDA49C"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Un Collegio docenti depredato del suo potere deliberante, un Consiglio di istituto che delibera su un ordine del giorno generico utile solo a piegare il Collegio dei docenti ad essere forzatamente assertivo.</w:t>
      </w:r>
    </w:p>
    <w:p w14:paraId="42A0E4EA"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b/>
          <w:bCs/>
          <w:color w:val="000000"/>
          <w:kern w:val="0"/>
          <w:sz w:val="21"/>
          <w:szCs w:val="21"/>
          <w:lang w:eastAsia="it-IT"/>
          <w14:ligatures w14:val="none"/>
        </w:rPr>
        <w:t>Eppure la normativa vigente</w:t>
      </w:r>
      <w:r w:rsidRPr="00577B0C">
        <w:rPr>
          <w:rFonts w:ascii="Arial" w:eastAsia="Times New Roman" w:hAnsi="Arial" w:cs="Arial"/>
          <w:color w:val="000000"/>
          <w:kern w:val="0"/>
          <w:sz w:val="21"/>
          <w:szCs w:val="21"/>
          <w:lang w:eastAsia="it-IT"/>
          <w14:ligatures w14:val="none"/>
        </w:rPr>
        <w:t> ai fini della partecipazione al Progetto di sperimentazione per l’istituzione di una filiera formativa integrata nell’ambito tecnologico-professionale, </w:t>
      </w:r>
      <w:r w:rsidRPr="00577B0C">
        <w:rPr>
          <w:rFonts w:ascii="Arial" w:eastAsia="Times New Roman" w:hAnsi="Arial" w:cs="Arial"/>
          <w:b/>
          <w:bCs/>
          <w:color w:val="000000"/>
          <w:kern w:val="0"/>
          <w:sz w:val="21"/>
          <w:szCs w:val="21"/>
          <w:lang w:eastAsia="it-IT"/>
          <w14:ligatures w14:val="none"/>
        </w:rPr>
        <w:t>prevede che siano allegate entrambe le delibere del collegio dei docenti e del consiglio di istituto delle istituzioni scolastiche riportanti l’adesione al progetto</w:t>
      </w:r>
      <w:r w:rsidRPr="00577B0C">
        <w:rPr>
          <w:rFonts w:ascii="Arial" w:eastAsia="Times New Roman" w:hAnsi="Arial" w:cs="Arial"/>
          <w:color w:val="000000"/>
          <w:kern w:val="0"/>
          <w:sz w:val="21"/>
          <w:szCs w:val="21"/>
          <w:lang w:eastAsia="it-IT"/>
          <w14:ligatures w14:val="none"/>
        </w:rPr>
        <w:t xml:space="preserve"> (Decreto dipartimentale 2608 del 7 dicembre 2023 - allegati e la </w:t>
      </w:r>
      <w:proofErr w:type="spellStart"/>
      <w:r w:rsidRPr="00577B0C">
        <w:rPr>
          <w:rFonts w:ascii="Arial" w:eastAsia="Times New Roman" w:hAnsi="Arial" w:cs="Arial"/>
          <w:color w:val="000000"/>
          <w:kern w:val="0"/>
          <w:sz w:val="21"/>
          <w:szCs w:val="21"/>
          <w:lang w:eastAsia="it-IT"/>
          <w14:ligatures w14:val="none"/>
        </w:rPr>
        <w:t>Faq</w:t>
      </w:r>
      <w:proofErr w:type="spellEnd"/>
      <w:r w:rsidRPr="00577B0C">
        <w:rPr>
          <w:rFonts w:ascii="Arial" w:eastAsia="Times New Roman" w:hAnsi="Arial" w:cs="Arial"/>
          <w:color w:val="000000"/>
          <w:kern w:val="0"/>
          <w:sz w:val="21"/>
          <w:szCs w:val="21"/>
          <w:lang w:eastAsia="it-IT"/>
          <w14:ligatures w14:val="none"/>
        </w:rPr>
        <w:t xml:space="preserve"> n. 7).</w:t>
      </w:r>
    </w:p>
    <w:p w14:paraId="317AC298"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A questo punto il parere contrario del collegio docenti diventa così condizione sufficiente per invalidare la richiesta di adesione al progetto.</w:t>
      </w:r>
    </w:p>
    <w:p w14:paraId="4D881609"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color w:val="000000"/>
          <w:kern w:val="0"/>
          <w:sz w:val="21"/>
          <w:szCs w:val="21"/>
          <w:lang w:eastAsia="it-IT"/>
          <w14:ligatures w14:val="none"/>
        </w:rPr>
        <w:t>E invece...</w:t>
      </w:r>
      <w:r w:rsidRPr="00577B0C">
        <w:rPr>
          <w:rFonts w:ascii="Arial" w:eastAsia="Times New Roman" w:hAnsi="Arial" w:cs="Arial"/>
          <w:color w:val="000000"/>
          <w:kern w:val="0"/>
          <w:sz w:val="21"/>
          <w:szCs w:val="21"/>
          <w:lang w:eastAsia="it-IT"/>
          <w14:ligatures w14:val="none"/>
        </w:rPr>
        <w:br/>
        <w:t>La democrazia scolastica buttata alle ortiche, la scelta motivata di un collegio declassato ad un capriccio, tutto questo è lo strano caso dell’istituto Carlo Porta di Milano.</w:t>
      </w:r>
    </w:p>
    <w:p w14:paraId="78C248C8"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b/>
          <w:bCs/>
          <w:color w:val="000000"/>
          <w:kern w:val="0"/>
          <w:sz w:val="21"/>
          <w:szCs w:val="21"/>
          <w:lang w:eastAsia="it-IT"/>
          <w14:ligatures w14:val="none"/>
        </w:rPr>
        <w:t>Noi non ci fermeremo e non permetteremo che la democrazia nella scuola sia oltraggiata in questo modo. </w:t>
      </w:r>
      <w:r w:rsidRPr="00577B0C">
        <w:rPr>
          <w:rFonts w:ascii="Arial" w:eastAsia="Times New Roman" w:hAnsi="Arial" w:cs="Arial"/>
          <w:color w:val="000000"/>
          <w:kern w:val="0"/>
          <w:sz w:val="21"/>
          <w:szCs w:val="21"/>
          <w:lang w:eastAsia="it-IT"/>
          <w14:ligatures w14:val="none"/>
        </w:rPr>
        <w:t>Ce lo impone la professionalità di chi la scuola la fa ogni giorno, ce la consegna la responsabilità di operare scelte e a favore degli studenti e delle studentesse in nome dei valori della Costituzione, dell’unitarietà dell’istruzione, senza ammiccamenti al mercato, all’industria e all’autonomia differenziata.</w:t>
      </w:r>
    </w:p>
    <w:p w14:paraId="506F27FA" w14:textId="77777777" w:rsidR="00D35048" w:rsidRPr="00577B0C"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7B0C">
        <w:rPr>
          <w:rFonts w:ascii="Arial" w:eastAsia="Times New Roman" w:hAnsi="Arial" w:cs="Arial"/>
          <w:b/>
          <w:bCs/>
          <w:color w:val="000000"/>
          <w:kern w:val="0"/>
          <w:sz w:val="21"/>
          <w:szCs w:val="21"/>
          <w:lang w:eastAsia="it-IT"/>
          <w14:ligatures w14:val="none"/>
        </w:rPr>
        <w:t xml:space="preserve">La </w:t>
      </w:r>
      <w:proofErr w:type="spellStart"/>
      <w:r w:rsidRPr="00577B0C">
        <w:rPr>
          <w:rFonts w:ascii="Arial" w:eastAsia="Times New Roman" w:hAnsi="Arial" w:cs="Arial"/>
          <w:b/>
          <w:bCs/>
          <w:color w:val="000000"/>
          <w:kern w:val="0"/>
          <w:sz w:val="21"/>
          <w:szCs w:val="21"/>
          <w:lang w:eastAsia="it-IT"/>
          <w14:ligatures w14:val="none"/>
        </w:rPr>
        <w:t>Flc</w:t>
      </w:r>
      <w:proofErr w:type="spellEnd"/>
      <w:r w:rsidRPr="00577B0C">
        <w:rPr>
          <w:rFonts w:ascii="Arial" w:eastAsia="Times New Roman" w:hAnsi="Arial" w:cs="Arial"/>
          <w:b/>
          <w:bCs/>
          <w:color w:val="000000"/>
          <w:kern w:val="0"/>
          <w:sz w:val="21"/>
          <w:szCs w:val="21"/>
          <w:lang w:eastAsia="it-IT"/>
          <w14:ligatures w14:val="none"/>
        </w:rPr>
        <w:t xml:space="preserve"> c’è! Questa decisione unilaterale sarà impugnata nelle sedi competenti.</w:t>
      </w:r>
    </w:p>
    <w:p w14:paraId="4239400D" w14:textId="77777777" w:rsidR="00D35048" w:rsidRPr="00D35048" w:rsidRDefault="00D35048" w:rsidP="00D35048">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D35048">
        <w:rPr>
          <w:rFonts w:ascii="Tahoma" w:eastAsia="Times New Roman" w:hAnsi="Tahoma" w:cs="Tahoma"/>
          <w:color w:val="DC3B33"/>
          <w:kern w:val="36"/>
          <w:sz w:val="45"/>
          <w:szCs w:val="45"/>
          <w:lang w:eastAsia="it-IT"/>
          <w14:ligatures w14:val="none"/>
        </w:rPr>
        <w:t>Personale scolastico all’estero: pubblicato il bando per dirigenti scolastici, docenti e ATA</w:t>
      </w:r>
    </w:p>
    <w:p w14:paraId="295AF9D5" w14:textId="77777777" w:rsidR="00D35048" w:rsidRPr="00D35048" w:rsidRDefault="00D35048" w:rsidP="00D350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D35048">
        <w:rPr>
          <w:rFonts w:ascii="Arial" w:eastAsia="Times New Roman" w:hAnsi="Arial" w:cs="Arial"/>
          <w:color w:val="535353"/>
          <w:kern w:val="0"/>
          <w:sz w:val="27"/>
          <w:szCs w:val="27"/>
          <w:lang w:eastAsia="it-IT"/>
          <w14:ligatures w14:val="none"/>
        </w:rPr>
        <w:t>Scadenza per la presentazione delle domande fissata al 1° febbraio 2024.</w:t>
      </w:r>
    </w:p>
    <w:p w14:paraId="222F2251" w14:textId="77777777" w:rsidR="00D35048" w:rsidRPr="00D35048" w:rsidRDefault="00D35048" w:rsidP="00D35048">
      <w:pPr>
        <w:shd w:val="clear" w:color="auto" w:fill="FFFFFF"/>
        <w:spacing w:after="0" w:line="240" w:lineRule="auto"/>
        <w:rPr>
          <w:rFonts w:ascii="Arial" w:eastAsia="Times New Roman" w:hAnsi="Arial" w:cs="Arial"/>
          <w:color w:val="4D4D4D"/>
          <w:kern w:val="0"/>
          <w:sz w:val="21"/>
          <w:szCs w:val="21"/>
          <w:lang w:eastAsia="it-IT"/>
          <w14:ligatures w14:val="none"/>
        </w:rPr>
      </w:pPr>
      <w:r w:rsidRPr="00D35048">
        <w:rPr>
          <w:rFonts w:ascii="Arial" w:eastAsia="Times New Roman" w:hAnsi="Arial" w:cs="Arial"/>
          <w:b/>
          <w:bCs/>
          <w:color w:val="4D4D4D"/>
          <w:kern w:val="0"/>
          <w:sz w:val="21"/>
          <w:szCs w:val="21"/>
          <w:lang w:eastAsia="it-IT"/>
          <w14:ligatures w14:val="none"/>
        </w:rPr>
        <w:t>03/01/2024</w:t>
      </w:r>
    </w:p>
    <w:p w14:paraId="25E7ED6D" w14:textId="77777777" w:rsidR="00DF4BED" w:rsidRDefault="00DF4BED"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1F9C671" w14:textId="5276780A" w:rsidR="00D35048" w:rsidRPr="00D35048"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Pubblicati i </w:t>
      </w:r>
      <w:r w:rsidRPr="00D35048">
        <w:rPr>
          <w:rFonts w:ascii="Arial" w:eastAsia="Times New Roman" w:hAnsi="Arial" w:cs="Arial"/>
          <w:b/>
          <w:bCs/>
          <w:color w:val="000000"/>
          <w:kern w:val="0"/>
          <w:sz w:val="21"/>
          <w:szCs w:val="21"/>
          <w:lang w:eastAsia="it-IT"/>
          <w14:ligatures w14:val="none"/>
        </w:rPr>
        <w:t>DD </w:t>
      </w:r>
      <w:hyperlink r:id="rId6" w:tgtFrame="_blank" w:history="1">
        <w:r w:rsidRPr="00D35048">
          <w:rPr>
            <w:rFonts w:ascii="Arial" w:eastAsia="Times New Roman" w:hAnsi="Arial" w:cs="Arial"/>
            <w:b/>
            <w:bCs/>
            <w:color w:val="005EB3"/>
            <w:kern w:val="0"/>
            <w:sz w:val="21"/>
            <w:szCs w:val="21"/>
            <w:u w:val="single"/>
            <w:lang w:eastAsia="it-IT"/>
            <w14:ligatures w14:val="none"/>
          </w:rPr>
          <w:t>4815/1762</w:t>
        </w:r>
      </w:hyperlink>
      <w:r w:rsidRPr="00D35048">
        <w:rPr>
          <w:rFonts w:ascii="Arial" w:eastAsia="Times New Roman" w:hAnsi="Arial" w:cs="Arial"/>
          <w:b/>
          <w:bCs/>
          <w:color w:val="000000"/>
          <w:kern w:val="0"/>
          <w:sz w:val="21"/>
          <w:szCs w:val="21"/>
          <w:lang w:eastAsia="it-IT"/>
          <w14:ligatures w14:val="none"/>
        </w:rPr>
        <w:t> </w:t>
      </w:r>
      <w:r w:rsidRPr="00D35048">
        <w:rPr>
          <w:rFonts w:ascii="Arial" w:eastAsia="Times New Roman" w:hAnsi="Arial" w:cs="Arial"/>
          <w:color w:val="000000"/>
          <w:kern w:val="0"/>
          <w:sz w:val="21"/>
          <w:szCs w:val="21"/>
          <w:lang w:eastAsia="it-IT"/>
          <w14:ligatures w14:val="none"/>
        </w:rPr>
        <w:t>e</w:t>
      </w:r>
      <w:r w:rsidRPr="00D35048">
        <w:rPr>
          <w:rFonts w:ascii="Arial" w:eastAsia="Times New Roman" w:hAnsi="Arial" w:cs="Arial"/>
          <w:b/>
          <w:bCs/>
          <w:color w:val="000000"/>
          <w:kern w:val="0"/>
          <w:sz w:val="21"/>
          <w:szCs w:val="21"/>
          <w:lang w:eastAsia="it-IT"/>
          <w14:ligatures w14:val="none"/>
        </w:rPr>
        <w:t> </w:t>
      </w:r>
      <w:hyperlink r:id="rId7" w:tgtFrame="_blank" w:history="1">
        <w:r w:rsidRPr="00D35048">
          <w:rPr>
            <w:rFonts w:ascii="Arial" w:eastAsia="Times New Roman" w:hAnsi="Arial" w:cs="Arial"/>
            <w:b/>
            <w:bCs/>
            <w:color w:val="005EB3"/>
            <w:kern w:val="0"/>
            <w:sz w:val="21"/>
            <w:szCs w:val="21"/>
            <w:u w:val="single"/>
            <w:lang w:eastAsia="it-IT"/>
            <w14:ligatures w14:val="none"/>
          </w:rPr>
          <w:t>4815/1763</w:t>
        </w:r>
      </w:hyperlink>
      <w:r w:rsidRPr="00D35048">
        <w:rPr>
          <w:rFonts w:ascii="Arial" w:eastAsia="Times New Roman" w:hAnsi="Arial" w:cs="Arial"/>
          <w:color w:val="000000"/>
          <w:kern w:val="0"/>
          <w:sz w:val="21"/>
          <w:szCs w:val="21"/>
          <w:lang w:eastAsia="it-IT"/>
          <w14:ligatures w14:val="none"/>
        </w:rPr>
        <w:t> in Gazzetta Ufficiale e sul </w:t>
      </w:r>
      <w:hyperlink r:id="rId8" w:tgtFrame="_blank" w:history="1">
        <w:r w:rsidRPr="00D35048">
          <w:rPr>
            <w:rFonts w:ascii="Arial" w:eastAsia="Times New Roman" w:hAnsi="Arial" w:cs="Arial"/>
            <w:color w:val="005EB3"/>
            <w:kern w:val="0"/>
            <w:sz w:val="21"/>
            <w:szCs w:val="21"/>
            <w:u w:val="single"/>
            <w:lang w:eastAsia="it-IT"/>
            <w14:ligatures w14:val="none"/>
          </w:rPr>
          <w:t>sito del MAECI</w:t>
        </w:r>
      </w:hyperlink>
      <w:r w:rsidRPr="00D35048">
        <w:rPr>
          <w:rFonts w:ascii="Arial" w:eastAsia="Times New Roman" w:hAnsi="Arial" w:cs="Arial"/>
          <w:color w:val="000000"/>
          <w:kern w:val="0"/>
          <w:sz w:val="21"/>
          <w:szCs w:val="21"/>
          <w:lang w:eastAsia="it-IT"/>
          <w14:ligatures w14:val="none"/>
        </w:rPr>
        <w:t> per la </w:t>
      </w:r>
      <w:r w:rsidRPr="00D35048">
        <w:rPr>
          <w:rFonts w:ascii="Arial" w:eastAsia="Times New Roman" w:hAnsi="Arial" w:cs="Arial"/>
          <w:b/>
          <w:bCs/>
          <w:color w:val="000000"/>
          <w:kern w:val="0"/>
          <w:sz w:val="21"/>
          <w:szCs w:val="21"/>
          <w:lang w:eastAsia="it-IT"/>
          <w14:ligatures w14:val="none"/>
        </w:rPr>
        <w:t>selezione dei dirigenti scolastici, docenti e ATA da inviare all’estero</w:t>
      </w:r>
      <w:r w:rsidRPr="00D35048">
        <w:rPr>
          <w:rFonts w:ascii="Arial" w:eastAsia="Times New Roman" w:hAnsi="Arial" w:cs="Arial"/>
          <w:color w:val="000000"/>
          <w:kern w:val="0"/>
          <w:sz w:val="21"/>
          <w:szCs w:val="21"/>
          <w:lang w:eastAsia="it-IT"/>
          <w14:ligatures w14:val="none"/>
        </w:rPr>
        <w:t>, per le aree linguistiche francese, inglese, spagnola e tedesca.</w:t>
      </w:r>
    </w:p>
    <w:p w14:paraId="463EC188" w14:textId="77777777" w:rsidR="00D35048" w:rsidRPr="00D35048"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Sono stati banditi i posti solo per le graduatorie esaurite e in via di esaurimento.</w:t>
      </w:r>
    </w:p>
    <w:p w14:paraId="039F8313" w14:textId="15D784ED" w:rsidR="00DF4BED" w:rsidRDefault="00D35048" w:rsidP="00DF4BE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lastRenderedPageBreak/>
        <w:t>I requisiti e le modalità di partecipazione sono differenti a seconda del profilo di interesse, per questo vi invit</w:t>
      </w:r>
      <w:r w:rsidR="00DF4BED">
        <w:rPr>
          <w:rFonts w:ascii="Arial" w:eastAsia="Times New Roman" w:hAnsi="Arial" w:cs="Arial"/>
          <w:color w:val="000000"/>
          <w:kern w:val="0"/>
          <w:sz w:val="21"/>
          <w:szCs w:val="21"/>
          <w:lang w:eastAsia="it-IT"/>
          <w14:ligatures w14:val="none"/>
        </w:rPr>
        <w:t>i</w:t>
      </w:r>
      <w:r w:rsidR="00DF4BED" w:rsidRPr="00DF4BED">
        <w:rPr>
          <w:rFonts w:ascii="Arial" w:eastAsia="Times New Roman" w:hAnsi="Arial" w:cs="Arial"/>
          <w:color w:val="000000"/>
          <w:kern w:val="0"/>
          <w:sz w:val="21"/>
          <w:szCs w:val="21"/>
          <w:lang w:eastAsia="it-IT"/>
          <w14:ligatures w14:val="none"/>
        </w:rPr>
        <w:t xml:space="preserve"> </w:t>
      </w:r>
      <w:r w:rsidR="00DF4BED" w:rsidRPr="00D35048">
        <w:rPr>
          <w:rFonts w:ascii="Arial" w:eastAsia="Times New Roman" w:hAnsi="Arial" w:cs="Arial"/>
          <w:color w:val="000000"/>
          <w:kern w:val="0"/>
          <w:sz w:val="21"/>
          <w:szCs w:val="21"/>
          <w:lang w:eastAsia="it-IT"/>
          <w14:ligatures w14:val="none"/>
        </w:rPr>
        <w:t>amo a leggere con attenzione i dettagli nelle nostre schede di lettura</w:t>
      </w:r>
      <w:r w:rsidR="00DF4BED">
        <w:rPr>
          <w:rFonts w:ascii="Arial" w:eastAsia="Times New Roman" w:hAnsi="Arial" w:cs="Arial"/>
          <w:color w:val="000000"/>
          <w:kern w:val="0"/>
          <w:sz w:val="21"/>
          <w:szCs w:val="21"/>
          <w:lang w:eastAsia="it-IT"/>
          <w14:ligatures w14:val="none"/>
        </w:rPr>
        <w:t>.</w:t>
      </w:r>
    </w:p>
    <w:p w14:paraId="794441F7" w14:textId="6214E153" w:rsidR="00DF4BED" w:rsidRDefault="00DF4BED" w:rsidP="00DF4BE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hyperlink r:id="rId9" w:tgtFrame="_blank" w:history="1">
        <w:r w:rsidRPr="00D35048">
          <w:rPr>
            <w:rFonts w:ascii="Arial" w:eastAsia="Times New Roman" w:hAnsi="Arial" w:cs="Arial"/>
            <w:kern w:val="0"/>
            <w:sz w:val="23"/>
            <w:szCs w:val="23"/>
            <w:u w:val="single"/>
            <w:lang w:eastAsia="it-IT"/>
            <w14:ligatures w14:val="none"/>
          </w:rPr>
          <w:t>schede di approfondimento per i dirigenti scolastici</w:t>
        </w:r>
      </w:hyperlink>
      <w:r w:rsidRPr="00D35048">
        <w:rPr>
          <w:rFonts w:ascii="Arial" w:eastAsia="Times New Roman" w:hAnsi="Arial" w:cs="Arial"/>
          <w:kern w:val="0"/>
          <w:sz w:val="23"/>
          <w:szCs w:val="23"/>
          <w:lang w:eastAsia="it-IT"/>
          <w14:ligatures w14:val="none"/>
        </w:rPr>
        <w:t>, docenti e Ata</w:t>
      </w:r>
      <w:r>
        <w:rPr>
          <w:rFonts w:ascii="Arial" w:eastAsia="Times New Roman" w:hAnsi="Arial" w:cs="Arial"/>
          <w:color w:val="000000"/>
          <w:kern w:val="0"/>
          <w:sz w:val="21"/>
          <w:szCs w:val="21"/>
          <w:lang w:eastAsia="it-IT"/>
          <w14:ligatures w14:val="none"/>
        </w:rPr>
        <w:t xml:space="preserve"> a questo link:</w:t>
      </w:r>
    </w:p>
    <w:p w14:paraId="4AA3994A" w14:textId="77777777" w:rsidR="00DF4BED" w:rsidRPr="00D35048" w:rsidRDefault="00DF4BED" w:rsidP="00DF4BED">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F4BED">
        <w:rPr>
          <w:rFonts w:ascii="Arial" w:eastAsia="Times New Roman" w:hAnsi="Arial" w:cs="Arial"/>
          <w:color w:val="000000"/>
          <w:kern w:val="0"/>
          <w:sz w:val="21"/>
          <w:szCs w:val="21"/>
          <w:lang w:eastAsia="it-IT"/>
          <w14:ligatures w14:val="none"/>
        </w:rPr>
        <w:t>https://www.flcgil.it/scuola/personale-scolastico-all-estero-pubblicato-il-bando-per-dirigenti-scolastici-docenti-e-ata.flc</w:t>
      </w:r>
    </w:p>
    <w:p w14:paraId="3DB23CD7" w14:textId="77777777" w:rsidR="00D35048" w:rsidRDefault="00D35048" w:rsidP="00D35048">
      <w:pPr>
        <w:shd w:val="clear" w:color="auto" w:fill="FFFFFF"/>
        <w:spacing w:after="225" w:line="240" w:lineRule="auto"/>
        <w:jc w:val="both"/>
        <w:rPr>
          <w:rFonts w:ascii="Arial" w:eastAsia="Times New Roman" w:hAnsi="Arial" w:cs="Arial"/>
          <w:b/>
          <w:bCs/>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Le domande potranno essere presentate esclusivamente tramite la piattaforma per la selezione del personale della scuola da destinare all'estero del MAECI, utilizzando le credenziali SPID </w:t>
      </w:r>
      <w:r w:rsidRPr="00D35048">
        <w:rPr>
          <w:rFonts w:ascii="Arial" w:eastAsia="Times New Roman" w:hAnsi="Arial" w:cs="Arial"/>
          <w:b/>
          <w:bCs/>
          <w:color w:val="000000"/>
          <w:kern w:val="0"/>
          <w:sz w:val="21"/>
          <w:szCs w:val="21"/>
          <w:lang w:eastAsia="it-IT"/>
          <w14:ligatures w14:val="none"/>
        </w:rPr>
        <w:t>entro e non oltre le ore 23:59 del 1° febbraio 2024.</w:t>
      </w:r>
    </w:p>
    <w:p w14:paraId="79D4CA63" w14:textId="77777777" w:rsidR="00D35048" w:rsidRPr="00D35048"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È disponibile per i dirigenti scolastici e i docenti il </w:t>
      </w:r>
      <w:hyperlink r:id="rId10" w:tgtFrame="_blank" w:history="1">
        <w:r w:rsidRPr="00D35048">
          <w:rPr>
            <w:rFonts w:ascii="Arial" w:eastAsia="Times New Roman" w:hAnsi="Arial" w:cs="Arial"/>
            <w:color w:val="005EB3"/>
            <w:kern w:val="0"/>
            <w:sz w:val="21"/>
            <w:szCs w:val="21"/>
            <w:u w:val="single"/>
            <w:lang w:eastAsia="it-IT"/>
            <w14:ligatures w14:val="none"/>
          </w:rPr>
          <w:t>corso di intercultura</w:t>
        </w:r>
      </w:hyperlink>
      <w:r w:rsidRPr="00D35048">
        <w:rPr>
          <w:rFonts w:ascii="Arial" w:eastAsia="Times New Roman" w:hAnsi="Arial" w:cs="Arial"/>
          <w:color w:val="000000"/>
          <w:kern w:val="0"/>
          <w:sz w:val="21"/>
          <w:szCs w:val="21"/>
          <w:lang w:eastAsia="it-IT"/>
          <w14:ligatures w14:val="none"/>
        </w:rPr>
        <w:t> (previsto come requisito per la partecipazione alla selezione) di </w:t>
      </w:r>
      <w:r w:rsidRPr="00D35048">
        <w:rPr>
          <w:rFonts w:ascii="Arial" w:eastAsia="Times New Roman" w:hAnsi="Arial" w:cs="Arial"/>
          <w:b/>
          <w:bCs/>
          <w:color w:val="000000"/>
          <w:kern w:val="0"/>
          <w:sz w:val="21"/>
          <w:szCs w:val="21"/>
          <w:lang w:eastAsia="it-IT"/>
          <w14:ligatures w14:val="none"/>
        </w:rPr>
        <w:t>Proteo Fare Sapere</w:t>
      </w:r>
      <w:r w:rsidRPr="00D35048">
        <w:rPr>
          <w:rFonts w:ascii="Arial" w:eastAsia="Times New Roman" w:hAnsi="Arial" w:cs="Arial"/>
          <w:color w:val="000000"/>
          <w:kern w:val="0"/>
          <w:sz w:val="21"/>
          <w:szCs w:val="21"/>
          <w:lang w:eastAsia="it-IT"/>
          <w14:ligatures w14:val="none"/>
        </w:rPr>
        <w:t> (associazione accreditata ai sensi della direttiva 170 del 21 marzo 2016).</w:t>
      </w:r>
    </w:p>
    <w:p w14:paraId="73652056" w14:textId="77777777" w:rsidR="00D35048" w:rsidRPr="00D35048"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La FLC CGIL ha organizzato due assemblee online:</w:t>
      </w:r>
    </w:p>
    <w:p w14:paraId="0996847F" w14:textId="77777777" w:rsidR="00D35048" w:rsidRPr="00D35048" w:rsidRDefault="00D35048" w:rsidP="00D35048">
      <w:pPr>
        <w:numPr>
          <w:ilvl w:val="0"/>
          <w:numId w:val="9"/>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D35048">
        <w:rPr>
          <w:rFonts w:ascii="Arial" w:eastAsia="Times New Roman" w:hAnsi="Arial" w:cs="Arial"/>
          <w:color w:val="000000"/>
          <w:kern w:val="0"/>
          <w:sz w:val="23"/>
          <w:szCs w:val="23"/>
          <w:lang w:eastAsia="it-IT"/>
          <w14:ligatures w14:val="none"/>
        </w:rPr>
        <w:t>15 gennaio 2024 dalle ore 16.30 alle ore 17.30 per </w:t>
      </w:r>
      <w:r w:rsidRPr="00D35048">
        <w:rPr>
          <w:rFonts w:ascii="Arial" w:eastAsia="Times New Roman" w:hAnsi="Arial" w:cs="Arial"/>
          <w:b/>
          <w:bCs/>
          <w:color w:val="000000"/>
          <w:kern w:val="0"/>
          <w:sz w:val="23"/>
          <w:szCs w:val="23"/>
          <w:lang w:eastAsia="it-IT"/>
          <w14:ligatures w14:val="none"/>
        </w:rPr>
        <w:t>dirigenti scolastici</w:t>
      </w:r>
    </w:p>
    <w:p w14:paraId="6E65BC59" w14:textId="77777777" w:rsidR="00D35048" w:rsidRPr="00D35048" w:rsidRDefault="00D35048" w:rsidP="00D35048">
      <w:pPr>
        <w:numPr>
          <w:ilvl w:val="0"/>
          <w:numId w:val="9"/>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D35048">
        <w:rPr>
          <w:rFonts w:ascii="Arial" w:eastAsia="Times New Roman" w:hAnsi="Arial" w:cs="Arial"/>
          <w:color w:val="000000"/>
          <w:kern w:val="0"/>
          <w:sz w:val="23"/>
          <w:szCs w:val="23"/>
          <w:lang w:eastAsia="it-IT"/>
          <w14:ligatures w14:val="none"/>
        </w:rPr>
        <w:t>15 gennaio 2024 dalle ore 17.40 alle ore 19.40 per </w:t>
      </w:r>
      <w:r w:rsidRPr="00D35048">
        <w:rPr>
          <w:rFonts w:ascii="Arial" w:eastAsia="Times New Roman" w:hAnsi="Arial" w:cs="Arial"/>
          <w:b/>
          <w:bCs/>
          <w:color w:val="000000"/>
          <w:kern w:val="0"/>
          <w:sz w:val="23"/>
          <w:szCs w:val="23"/>
          <w:lang w:eastAsia="it-IT"/>
          <w14:ligatures w14:val="none"/>
        </w:rPr>
        <w:t>docenti e ATA</w:t>
      </w:r>
    </w:p>
    <w:p w14:paraId="4FF795B9" w14:textId="77777777" w:rsidR="00D35048" w:rsidRPr="00D35048" w:rsidRDefault="00D35048" w:rsidP="00D350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35048">
        <w:rPr>
          <w:rFonts w:ascii="Arial" w:eastAsia="Times New Roman" w:hAnsi="Arial" w:cs="Arial"/>
          <w:color w:val="000000"/>
          <w:kern w:val="0"/>
          <w:sz w:val="21"/>
          <w:szCs w:val="21"/>
          <w:lang w:eastAsia="it-IT"/>
          <w14:ligatures w14:val="none"/>
        </w:rPr>
        <w:t>Se sei interessato a partecipare </w:t>
      </w:r>
      <w:hyperlink r:id="rId11" w:tgtFrame="_blank" w:history="1">
        <w:r w:rsidRPr="00D35048">
          <w:rPr>
            <w:rFonts w:ascii="Arial" w:eastAsia="Times New Roman" w:hAnsi="Arial" w:cs="Arial"/>
            <w:color w:val="005EB3"/>
            <w:kern w:val="0"/>
            <w:sz w:val="21"/>
            <w:szCs w:val="21"/>
            <w:u w:val="single"/>
            <w:lang w:eastAsia="it-IT"/>
            <w14:ligatures w14:val="none"/>
          </w:rPr>
          <w:t xml:space="preserve">compila il modulo </w:t>
        </w:r>
        <w:proofErr w:type="spellStart"/>
        <w:r w:rsidRPr="00D35048">
          <w:rPr>
            <w:rFonts w:ascii="Arial" w:eastAsia="Times New Roman" w:hAnsi="Arial" w:cs="Arial"/>
            <w:color w:val="005EB3"/>
            <w:kern w:val="0"/>
            <w:sz w:val="21"/>
            <w:szCs w:val="21"/>
            <w:u w:val="single"/>
            <w:lang w:eastAsia="it-IT"/>
            <w14:ligatures w14:val="none"/>
          </w:rPr>
          <w:t>google</w:t>
        </w:r>
        <w:proofErr w:type="spellEnd"/>
      </w:hyperlink>
      <w:r w:rsidRPr="00D35048">
        <w:rPr>
          <w:rFonts w:ascii="Arial" w:eastAsia="Times New Roman" w:hAnsi="Arial" w:cs="Arial"/>
          <w:color w:val="000000"/>
          <w:kern w:val="0"/>
          <w:sz w:val="21"/>
          <w:szCs w:val="21"/>
          <w:lang w:eastAsia="it-IT"/>
          <w14:ligatures w14:val="none"/>
        </w:rPr>
        <w:t> per ricevere, via mail, il link per collegarti all’assemblea.</w:t>
      </w:r>
    </w:p>
    <w:p w14:paraId="27950BDA" w14:textId="77777777" w:rsidR="00DF4BED" w:rsidRPr="00DF4BED" w:rsidRDefault="00DF4BED" w:rsidP="00DF4BED">
      <w:pPr>
        <w:spacing w:after="0" w:line="525" w:lineRule="atLeast"/>
        <w:outlineLvl w:val="0"/>
        <w:rPr>
          <w:rFonts w:ascii="Tahoma" w:eastAsia="Times New Roman" w:hAnsi="Tahoma" w:cs="Tahoma"/>
          <w:color w:val="DC3B33"/>
          <w:kern w:val="36"/>
          <w:sz w:val="45"/>
          <w:szCs w:val="45"/>
          <w:lang w:eastAsia="it-IT"/>
          <w14:ligatures w14:val="none"/>
        </w:rPr>
      </w:pPr>
      <w:r w:rsidRPr="00DF4BED">
        <w:rPr>
          <w:rFonts w:ascii="Tahoma" w:eastAsia="Times New Roman" w:hAnsi="Tahoma" w:cs="Tahoma"/>
          <w:color w:val="DC3B33"/>
          <w:kern w:val="36"/>
          <w:sz w:val="45"/>
          <w:szCs w:val="45"/>
          <w:lang w:eastAsia="it-IT"/>
          <w14:ligatures w14:val="none"/>
        </w:rPr>
        <w:t>Mobilità docenti scuola, i vincoli sono una sciocchezza da cancellare: non danno continuità didattica e creano disagi enormi</w:t>
      </w:r>
    </w:p>
    <w:p w14:paraId="1BF4841D" w14:textId="77777777" w:rsidR="00DF4BED" w:rsidRPr="00DF4BED" w:rsidRDefault="00DF4BED" w:rsidP="00DF4BED">
      <w:pPr>
        <w:spacing w:before="75" w:after="75" w:line="240" w:lineRule="auto"/>
        <w:outlineLvl w:val="3"/>
        <w:rPr>
          <w:rFonts w:ascii="Times New Roman" w:eastAsia="Times New Roman" w:hAnsi="Times New Roman" w:cs="Times New Roman"/>
          <w:color w:val="535353"/>
          <w:kern w:val="0"/>
          <w:sz w:val="27"/>
          <w:szCs w:val="27"/>
          <w:lang w:eastAsia="it-IT"/>
          <w14:ligatures w14:val="none"/>
        </w:rPr>
      </w:pPr>
      <w:r w:rsidRPr="00DF4BED">
        <w:rPr>
          <w:rFonts w:ascii="Times New Roman" w:eastAsia="Times New Roman" w:hAnsi="Times New Roman" w:cs="Times New Roman"/>
          <w:color w:val="535353"/>
          <w:kern w:val="0"/>
          <w:sz w:val="27"/>
          <w:szCs w:val="27"/>
          <w:lang w:eastAsia="it-IT"/>
          <w14:ligatures w14:val="none"/>
        </w:rPr>
        <w:t xml:space="preserve">Intervista di La Tecnica della Scuola ad Alessandro </w:t>
      </w:r>
      <w:proofErr w:type="spellStart"/>
      <w:r w:rsidRPr="00DF4BED">
        <w:rPr>
          <w:rFonts w:ascii="Times New Roman" w:eastAsia="Times New Roman" w:hAnsi="Times New Roman" w:cs="Times New Roman"/>
          <w:color w:val="535353"/>
          <w:kern w:val="0"/>
          <w:sz w:val="27"/>
          <w:szCs w:val="27"/>
          <w:lang w:eastAsia="it-IT"/>
          <w14:ligatures w14:val="none"/>
        </w:rPr>
        <w:t>Rapezzi</w:t>
      </w:r>
      <w:proofErr w:type="spellEnd"/>
      <w:r w:rsidRPr="00DF4BED">
        <w:rPr>
          <w:rFonts w:ascii="Times New Roman" w:eastAsia="Times New Roman" w:hAnsi="Times New Roman" w:cs="Times New Roman"/>
          <w:color w:val="535353"/>
          <w:kern w:val="0"/>
          <w:sz w:val="27"/>
          <w:szCs w:val="27"/>
          <w:lang w:eastAsia="it-IT"/>
          <w14:ligatures w14:val="none"/>
        </w:rPr>
        <w:t>, segretario nazionale FLC CGIL</w:t>
      </w:r>
    </w:p>
    <w:p w14:paraId="0E7CFED1" w14:textId="77777777" w:rsidR="00DF4BED" w:rsidRPr="00DF4BED" w:rsidRDefault="00DF4BED" w:rsidP="00DF4BED">
      <w:pPr>
        <w:spacing w:after="0" w:line="240" w:lineRule="auto"/>
        <w:rPr>
          <w:rFonts w:ascii="Times New Roman" w:eastAsia="Times New Roman" w:hAnsi="Times New Roman" w:cs="Times New Roman"/>
          <w:color w:val="4D4D4D"/>
          <w:kern w:val="0"/>
          <w:sz w:val="21"/>
          <w:szCs w:val="21"/>
          <w:lang w:eastAsia="it-IT"/>
          <w14:ligatures w14:val="none"/>
        </w:rPr>
      </w:pPr>
      <w:r w:rsidRPr="00DF4BED">
        <w:rPr>
          <w:rFonts w:ascii="Times New Roman" w:eastAsia="Times New Roman" w:hAnsi="Times New Roman" w:cs="Times New Roman"/>
          <w:b/>
          <w:bCs/>
          <w:color w:val="4D4D4D"/>
          <w:kern w:val="0"/>
          <w:sz w:val="21"/>
          <w:szCs w:val="21"/>
          <w:lang w:eastAsia="it-IT"/>
          <w14:ligatures w14:val="none"/>
        </w:rPr>
        <w:t>05/01/2024</w:t>
      </w:r>
    </w:p>
    <w:p w14:paraId="6F582340" w14:textId="77777777" w:rsidR="00DF4BED" w:rsidRPr="00DF4BED" w:rsidRDefault="00DF4BED" w:rsidP="00DF4BED">
      <w:pPr>
        <w:spacing w:after="225" w:line="240" w:lineRule="auto"/>
        <w:jc w:val="both"/>
        <w:rPr>
          <w:rFonts w:ascii="Times New Roman" w:eastAsia="Times New Roman" w:hAnsi="Times New Roman" w:cs="Times New Roman"/>
          <w:kern w:val="0"/>
          <w:sz w:val="24"/>
          <w:szCs w:val="24"/>
          <w:lang w:eastAsia="it-IT"/>
          <w14:ligatures w14:val="none"/>
        </w:rPr>
      </w:pPr>
      <w:r w:rsidRPr="00DF4BED">
        <w:rPr>
          <w:rFonts w:ascii="Times New Roman" w:eastAsia="Times New Roman" w:hAnsi="Times New Roman" w:cs="Times New Roman"/>
          <w:i/>
          <w:iCs/>
          <w:kern w:val="0"/>
          <w:sz w:val="24"/>
          <w:szCs w:val="24"/>
          <w:lang w:eastAsia="it-IT"/>
          <w14:ligatures w14:val="none"/>
        </w:rPr>
        <w:t>La Tecnica della Scuola</w:t>
      </w:r>
      <w:r w:rsidRPr="00DF4BED">
        <w:rPr>
          <w:rFonts w:ascii="Times New Roman" w:eastAsia="Times New Roman" w:hAnsi="Times New Roman" w:cs="Times New Roman"/>
          <w:kern w:val="0"/>
          <w:sz w:val="24"/>
          <w:szCs w:val="24"/>
          <w:lang w:eastAsia="it-IT"/>
          <w14:ligatures w14:val="none"/>
        </w:rPr>
        <w:t> ha incontrato </w:t>
      </w:r>
      <w:r w:rsidRPr="00DF4BED">
        <w:rPr>
          <w:rFonts w:ascii="Times New Roman" w:eastAsia="Times New Roman" w:hAnsi="Times New Roman" w:cs="Times New Roman"/>
          <w:b/>
          <w:bCs/>
          <w:kern w:val="0"/>
          <w:sz w:val="24"/>
          <w:szCs w:val="24"/>
          <w:lang w:eastAsia="it-IT"/>
          <w14:ligatures w14:val="none"/>
        </w:rPr>
        <w:t xml:space="preserve">Alessandro </w:t>
      </w:r>
      <w:proofErr w:type="spellStart"/>
      <w:r w:rsidRPr="00DF4BED">
        <w:rPr>
          <w:rFonts w:ascii="Times New Roman" w:eastAsia="Times New Roman" w:hAnsi="Times New Roman" w:cs="Times New Roman"/>
          <w:b/>
          <w:bCs/>
          <w:kern w:val="0"/>
          <w:sz w:val="24"/>
          <w:szCs w:val="24"/>
          <w:lang w:eastAsia="it-IT"/>
          <w14:ligatures w14:val="none"/>
        </w:rPr>
        <w:t>Rapezzi</w:t>
      </w:r>
      <w:proofErr w:type="spellEnd"/>
      <w:r w:rsidRPr="00DF4BED">
        <w:rPr>
          <w:rFonts w:ascii="Times New Roman" w:eastAsia="Times New Roman" w:hAnsi="Times New Roman" w:cs="Times New Roman"/>
          <w:kern w:val="0"/>
          <w:sz w:val="24"/>
          <w:szCs w:val="24"/>
          <w:lang w:eastAsia="it-IT"/>
          <w14:ligatures w14:val="none"/>
        </w:rPr>
        <w:t>, segretario nazionale FLC CGIL, per fare il punto della situazione sulle norme che regoleranno la mobilità del personale scolastico nel 2024. Il nodo della questione rimangono i blocchi che dal 2019 stoppano la libera circolazione dei docenti da una sede all’altra a partire dai neo immessi in ruolo fermi per almeno tre anni. L’ultimo contratto collettivo nazionale ha introdotto delle deroghe per chi dispone dei benefici della Legge 104/92 e per chi è genitore di figli con meno di 12 anni: oltre, però, non si va.</w:t>
      </w:r>
    </w:p>
    <w:p w14:paraId="234D3474" w14:textId="77777777" w:rsidR="00DF4BED" w:rsidRPr="00DF4BED" w:rsidRDefault="00DF4BED" w:rsidP="00DF4BED">
      <w:pPr>
        <w:spacing w:after="225" w:line="240" w:lineRule="auto"/>
        <w:jc w:val="both"/>
        <w:rPr>
          <w:rFonts w:ascii="Times New Roman" w:eastAsia="Times New Roman" w:hAnsi="Times New Roman" w:cs="Times New Roman"/>
          <w:kern w:val="0"/>
          <w:sz w:val="24"/>
          <w:szCs w:val="24"/>
          <w:lang w:eastAsia="it-IT"/>
          <w14:ligatures w14:val="none"/>
        </w:rPr>
      </w:pPr>
      <w:r w:rsidRPr="00DF4BED">
        <w:rPr>
          <w:rFonts w:ascii="Times New Roman" w:eastAsia="Times New Roman" w:hAnsi="Times New Roman" w:cs="Times New Roman"/>
          <w:kern w:val="0"/>
          <w:sz w:val="24"/>
          <w:szCs w:val="24"/>
          <w:lang w:eastAsia="it-IT"/>
          <w14:ligatures w14:val="none"/>
        </w:rPr>
        <w:t>“</w:t>
      </w:r>
      <w:r w:rsidRPr="00DF4BED">
        <w:rPr>
          <w:rFonts w:ascii="Times New Roman" w:eastAsia="Times New Roman" w:hAnsi="Times New Roman" w:cs="Times New Roman"/>
          <w:b/>
          <w:bCs/>
          <w:kern w:val="0"/>
          <w:sz w:val="24"/>
          <w:szCs w:val="24"/>
          <w:lang w:eastAsia="it-IT"/>
          <w14:ligatures w14:val="none"/>
        </w:rPr>
        <w:t>I vincoli alla mobilità dei docenti</w:t>
      </w:r>
      <w:r w:rsidRPr="00DF4BED">
        <w:rPr>
          <w:rFonts w:ascii="Times New Roman" w:eastAsia="Times New Roman" w:hAnsi="Times New Roman" w:cs="Times New Roman"/>
          <w:kern w:val="0"/>
          <w:sz w:val="24"/>
          <w:szCs w:val="24"/>
          <w:lang w:eastAsia="it-IT"/>
          <w14:ligatures w14:val="none"/>
        </w:rPr>
        <w:t> sono una sciocchezza che </w:t>
      </w:r>
      <w:r w:rsidRPr="00DF4BED">
        <w:rPr>
          <w:rFonts w:ascii="Times New Roman" w:eastAsia="Times New Roman" w:hAnsi="Times New Roman" w:cs="Times New Roman"/>
          <w:b/>
          <w:bCs/>
          <w:kern w:val="0"/>
          <w:sz w:val="24"/>
          <w:szCs w:val="24"/>
          <w:lang w:eastAsia="it-IT"/>
          <w14:ligatures w14:val="none"/>
        </w:rPr>
        <w:t>non producono affatto la continuità didattica</w:t>
      </w:r>
      <w:r w:rsidRPr="00DF4BED">
        <w:rPr>
          <w:rFonts w:ascii="Times New Roman" w:eastAsia="Times New Roman" w:hAnsi="Times New Roman" w:cs="Times New Roman"/>
          <w:kern w:val="0"/>
          <w:sz w:val="24"/>
          <w:szCs w:val="24"/>
          <w:lang w:eastAsia="it-IT"/>
          <w14:ligatures w14:val="none"/>
        </w:rPr>
        <w:t> – ha tuonati il sindacalista Confederale – e per questo il nuovo contratto dovrà portare più equilibrio. Ma serve anche che</w:t>
      </w:r>
      <w:r w:rsidRPr="00DF4BED">
        <w:rPr>
          <w:rFonts w:ascii="Times New Roman" w:eastAsia="Times New Roman" w:hAnsi="Times New Roman" w:cs="Times New Roman"/>
          <w:b/>
          <w:bCs/>
          <w:kern w:val="0"/>
          <w:sz w:val="24"/>
          <w:szCs w:val="24"/>
          <w:lang w:eastAsia="it-IT"/>
          <w14:ligatures w14:val="none"/>
        </w:rPr>
        <w:t> la politica si muova</w:t>
      </w:r>
      <w:r w:rsidRPr="00DF4BED">
        <w:rPr>
          <w:rFonts w:ascii="Times New Roman" w:eastAsia="Times New Roman" w:hAnsi="Times New Roman" w:cs="Times New Roman"/>
          <w:kern w:val="0"/>
          <w:sz w:val="24"/>
          <w:szCs w:val="24"/>
          <w:lang w:eastAsia="it-IT"/>
          <w14:ligatures w14:val="none"/>
        </w:rPr>
        <w:t>: è una contraddizione pronunciarsi a favore della cancellazione dei vincoli ai trasferimenti e poi fare il contrario quando si votano gli emendamenti alle leggi come è accaduto di recente in Parlamento con quella di Bilancio di fine 2023. Perché alla resa dei conti a risultare contrari risultano sempre e solo quelli dell’opposizione?”.</w:t>
      </w:r>
    </w:p>
    <w:p w14:paraId="63E216B0" w14:textId="77777777" w:rsidR="00DF4BED" w:rsidRPr="00DF4BED" w:rsidRDefault="00DF4BED" w:rsidP="00DF4BED">
      <w:pPr>
        <w:spacing w:after="225" w:line="240" w:lineRule="auto"/>
        <w:jc w:val="both"/>
        <w:rPr>
          <w:rFonts w:ascii="Times New Roman" w:eastAsia="Times New Roman" w:hAnsi="Times New Roman" w:cs="Times New Roman"/>
          <w:kern w:val="0"/>
          <w:sz w:val="24"/>
          <w:szCs w:val="24"/>
          <w:lang w:eastAsia="it-IT"/>
          <w14:ligatures w14:val="none"/>
        </w:rPr>
      </w:pPr>
      <w:r w:rsidRPr="00DF4BED">
        <w:rPr>
          <w:rFonts w:ascii="Times New Roman" w:eastAsia="Times New Roman" w:hAnsi="Times New Roman" w:cs="Times New Roman"/>
          <w:b/>
          <w:bCs/>
          <w:kern w:val="0"/>
          <w:sz w:val="24"/>
          <w:szCs w:val="24"/>
          <w:lang w:eastAsia="it-IT"/>
          <w14:ligatures w14:val="none"/>
        </w:rPr>
        <w:t>A breve partirà la trattativa per eventuali modifiche al contratto sulla mobilità</w:t>
      </w:r>
      <w:r w:rsidRPr="00DF4BED">
        <w:rPr>
          <w:rFonts w:ascii="Times New Roman" w:eastAsia="Times New Roman" w:hAnsi="Times New Roman" w:cs="Times New Roman"/>
          <w:kern w:val="0"/>
          <w:sz w:val="24"/>
          <w:szCs w:val="24"/>
          <w:lang w:eastAsia="it-IT"/>
          <w14:ligatures w14:val="none"/>
        </w:rPr>
        <w:t>. Poi sarà la volta delle candidature: “</w:t>
      </w:r>
      <w:r w:rsidRPr="00DF4BED">
        <w:rPr>
          <w:rFonts w:ascii="Times New Roman" w:eastAsia="Times New Roman" w:hAnsi="Times New Roman" w:cs="Times New Roman"/>
          <w:b/>
          <w:bCs/>
          <w:kern w:val="0"/>
          <w:sz w:val="24"/>
          <w:szCs w:val="24"/>
          <w:lang w:eastAsia="it-IT"/>
          <w14:ligatures w14:val="none"/>
        </w:rPr>
        <w:t>Tra fine marzo e aprile 2024 sarà possibile presentare le domande</w:t>
      </w:r>
      <w:r w:rsidRPr="00DF4BED">
        <w:rPr>
          <w:rFonts w:ascii="Times New Roman" w:eastAsia="Times New Roman" w:hAnsi="Times New Roman" w:cs="Times New Roman"/>
          <w:kern w:val="0"/>
          <w:sz w:val="24"/>
          <w:szCs w:val="24"/>
          <w:lang w:eastAsia="it-IT"/>
          <w14:ligatures w14:val="none"/>
        </w:rPr>
        <w:t>, ma ad oggi non sappiamo a quali scuole verranno inviate perché </w:t>
      </w:r>
      <w:r w:rsidRPr="00DF4BED">
        <w:rPr>
          <w:rFonts w:ascii="Times New Roman" w:eastAsia="Times New Roman" w:hAnsi="Times New Roman" w:cs="Times New Roman"/>
          <w:b/>
          <w:bCs/>
          <w:kern w:val="0"/>
          <w:sz w:val="24"/>
          <w:szCs w:val="24"/>
          <w:lang w:eastAsia="it-IT"/>
          <w14:ligatures w14:val="none"/>
        </w:rPr>
        <w:t>il dimensionamento </w:t>
      </w:r>
      <w:r w:rsidRPr="00DF4BED">
        <w:rPr>
          <w:rFonts w:ascii="Times New Roman" w:eastAsia="Times New Roman" w:hAnsi="Times New Roman" w:cs="Times New Roman"/>
          <w:kern w:val="0"/>
          <w:sz w:val="24"/>
          <w:szCs w:val="24"/>
          <w:lang w:eastAsia="it-IT"/>
          <w14:ligatures w14:val="none"/>
        </w:rPr>
        <w:t xml:space="preserve">non è stato ancora definito e le delibere regionali non sono ancora tutte definite”, sottolinea </w:t>
      </w:r>
      <w:proofErr w:type="spellStart"/>
      <w:r w:rsidRPr="00DF4BED">
        <w:rPr>
          <w:rFonts w:ascii="Times New Roman" w:eastAsia="Times New Roman" w:hAnsi="Times New Roman" w:cs="Times New Roman"/>
          <w:kern w:val="0"/>
          <w:sz w:val="24"/>
          <w:szCs w:val="24"/>
          <w:lang w:eastAsia="it-IT"/>
          <w14:ligatures w14:val="none"/>
        </w:rPr>
        <w:t>Rapezzi</w:t>
      </w:r>
      <w:proofErr w:type="spellEnd"/>
      <w:r w:rsidRPr="00DF4BED">
        <w:rPr>
          <w:rFonts w:ascii="Times New Roman" w:eastAsia="Times New Roman" w:hAnsi="Times New Roman" w:cs="Times New Roman"/>
          <w:kern w:val="0"/>
          <w:sz w:val="24"/>
          <w:szCs w:val="24"/>
          <w:lang w:eastAsia="it-IT"/>
          <w14:ligatures w14:val="none"/>
        </w:rPr>
        <w:t>.</w:t>
      </w:r>
    </w:p>
    <w:p w14:paraId="577C3127" w14:textId="77777777" w:rsidR="00DF4BED" w:rsidRDefault="00DF4BED" w:rsidP="00DF4BED">
      <w:pPr>
        <w:spacing w:after="225" w:line="240" w:lineRule="auto"/>
        <w:jc w:val="both"/>
        <w:rPr>
          <w:rFonts w:ascii="Times New Roman" w:eastAsia="Times New Roman" w:hAnsi="Times New Roman" w:cs="Times New Roman"/>
          <w:kern w:val="0"/>
          <w:sz w:val="24"/>
          <w:szCs w:val="24"/>
          <w:lang w:eastAsia="it-IT"/>
          <w14:ligatures w14:val="none"/>
        </w:rPr>
      </w:pPr>
      <w:r w:rsidRPr="00DF4BED">
        <w:rPr>
          <w:rFonts w:ascii="Times New Roman" w:eastAsia="Times New Roman" w:hAnsi="Times New Roman" w:cs="Times New Roman"/>
          <w:kern w:val="0"/>
          <w:sz w:val="24"/>
          <w:szCs w:val="24"/>
          <w:lang w:eastAsia="it-IT"/>
          <w14:ligatures w14:val="none"/>
        </w:rPr>
        <w:lastRenderedPageBreak/>
        <w:t>Secondo il sindacalista Confederale, “con l’accorpamento di centinaia di scuola, il Governo sta preparando il terreno all’</w:t>
      </w:r>
      <w:r w:rsidRPr="00DF4BED">
        <w:rPr>
          <w:rFonts w:ascii="Times New Roman" w:eastAsia="Times New Roman" w:hAnsi="Times New Roman" w:cs="Times New Roman"/>
          <w:b/>
          <w:bCs/>
          <w:kern w:val="0"/>
          <w:sz w:val="24"/>
          <w:szCs w:val="24"/>
          <w:lang w:eastAsia="it-IT"/>
          <w14:ligatures w14:val="none"/>
        </w:rPr>
        <w:t>autonomia differenziata </w:t>
      </w:r>
      <w:r w:rsidRPr="00DF4BED">
        <w:rPr>
          <w:rFonts w:ascii="Times New Roman" w:eastAsia="Times New Roman" w:hAnsi="Times New Roman" w:cs="Times New Roman"/>
          <w:kern w:val="0"/>
          <w:sz w:val="24"/>
          <w:szCs w:val="24"/>
          <w:lang w:eastAsia="it-IT"/>
          <w14:ligatures w14:val="none"/>
        </w:rPr>
        <w:t>che per l’istruzione italiana sarebbe davvero un grave colp</w:t>
      </w:r>
      <w:r>
        <w:rPr>
          <w:rFonts w:ascii="Times New Roman" w:eastAsia="Times New Roman" w:hAnsi="Times New Roman" w:cs="Times New Roman"/>
          <w:kern w:val="0"/>
          <w:sz w:val="24"/>
          <w:szCs w:val="24"/>
          <w:lang w:eastAsia="it-IT"/>
          <w14:ligatures w14:val="none"/>
        </w:rPr>
        <w:t>o</w:t>
      </w:r>
    </w:p>
    <w:p w14:paraId="3DF2F7CC" w14:textId="54DDAE7F" w:rsidR="001025FC" w:rsidRPr="00DF4BED" w:rsidRDefault="001025FC" w:rsidP="00DF4BED">
      <w:pPr>
        <w:spacing w:after="225" w:line="240" w:lineRule="auto"/>
        <w:jc w:val="both"/>
        <w:rPr>
          <w:rFonts w:ascii="Times New Roman" w:eastAsia="Times New Roman" w:hAnsi="Times New Roman" w:cs="Times New Roman"/>
          <w:kern w:val="0"/>
          <w:sz w:val="24"/>
          <w:szCs w:val="24"/>
          <w:lang w:eastAsia="it-IT"/>
          <w14:ligatures w14:val="none"/>
        </w:rPr>
      </w:pPr>
      <w:r w:rsidRPr="001025FC">
        <w:rPr>
          <w:rFonts w:ascii="Tahoma" w:eastAsia="Times New Roman" w:hAnsi="Tahoma" w:cs="Tahoma"/>
          <w:color w:val="DC3B33"/>
          <w:kern w:val="36"/>
          <w:sz w:val="45"/>
          <w:szCs w:val="45"/>
          <w:lang w:eastAsia="it-IT"/>
          <w14:ligatures w14:val="none"/>
        </w:rPr>
        <w:t>Scuola, personale ATA: assicurare continuità al lavoro</w:t>
      </w:r>
    </w:p>
    <w:p w14:paraId="2D191C4F" w14:textId="77777777" w:rsidR="001025FC" w:rsidRPr="001025FC" w:rsidRDefault="001025FC" w:rsidP="001025F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025FC">
        <w:rPr>
          <w:rFonts w:ascii="Arial" w:eastAsia="Times New Roman" w:hAnsi="Arial" w:cs="Arial"/>
          <w:color w:val="535353"/>
          <w:kern w:val="0"/>
          <w:sz w:val="27"/>
          <w:szCs w:val="27"/>
          <w:lang w:eastAsia="it-IT"/>
          <w14:ligatures w14:val="none"/>
        </w:rPr>
        <w:t>Necessaria la proroga senza discriminazioni e la certezza delle risorse finanziarie per rinnovare tutti i contratti di collaboratori e assistenti fino a tutto il 2026.</w:t>
      </w:r>
    </w:p>
    <w:p w14:paraId="375FDC50" w14:textId="77777777" w:rsidR="001025FC" w:rsidRPr="001025FC" w:rsidRDefault="001025FC" w:rsidP="001025FC">
      <w:pPr>
        <w:shd w:val="clear" w:color="auto" w:fill="FFFFFF"/>
        <w:spacing w:after="0" w:line="240" w:lineRule="auto"/>
        <w:rPr>
          <w:rFonts w:ascii="Arial" w:eastAsia="Times New Roman" w:hAnsi="Arial" w:cs="Arial"/>
          <w:color w:val="4D4D4D"/>
          <w:kern w:val="0"/>
          <w:sz w:val="21"/>
          <w:szCs w:val="21"/>
          <w:lang w:eastAsia="it-IT"/>
          <w14:ligatures w14:val="none"/>
        </w:rPr>
      </w:pPr>
      <w:r w:rsidRPr="001025FC">
        <w:rPr>
          <w:rFonts w:ascii="Arial" w:eastAsia="Times New Roman" w:hAnsi="Arial" w:cs="Arial"/>
          <w:b/>
          <w:bCs/>
          <w:color w:val="4D4D4D"/>
          <w:kern w:val="0"/>
          <w:sz w:val="21"/>
          <w:szCs w:val="21"/>
          <w:lang w:eastAsia="it-IT"/>
          <w14:ligatures w14:val="none"/>
        </w:rPr>
        <w:t>03/01/2024</w:t>
      </w:r>
    </w:p>
    <w:p w14:paraId="5FC806CA" w14:textId="77777777" w:rsid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B8C97F1" w14:textId="2CA8B8D8"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color w:val="000000"/>
          <w:kern w:val="0"/>
          <w:sz w:val="21"/>
          <w:szCs w:val="21"/>
          <w:lang w:eastAsia="it-IT"/>
          <w14:ligatures w14:val="none"/>
        </w:rPr>
        <w:t>Con gli ultimi </w:t>
      </w:r>
      <w:r w:rsidRPr="001025FC">
        <w:rPr>
          <w:rFonts w:ascii="Arial" w:eastAsia="Times New Roman" w:hAnsi="Arial" w:cs="Arial"/>
          <w:b/>
          <w:bCs/>
          <w:color w:val="000000"/>
          <w:kern w:val="0"/>
          <w:sz w:val="21"/>
          <w:szCs w:val="21"/>
          <w:lang w:eastAsia="it-IT"/>
          <w14:ligatures w14:val="none"/>
        </w:rPr>
        <w:t>provvedimenti ministeriali</w:t>
      </w:r>
      <w:r w:rsidRPr="001025FC">
        <w:rPr>
          <w:rFonts w:ascii="Arial" w:eastAsia="Times New Roman" w:hAnsi="Arial" w:cs="Arial"/>
          <w:color w:val="000000"/>
          <w:kern w:val="0"/>
          <w:sz w:val="21"/>
          <w:szCs w:val="21"/>
          <w:lang w:eastAsia="it-IT"/>
          <w14:ligatures w14:val="none"/>
        </w:rPr>
        <w:t> </w:t>
      </w:r>
      <w:hyperlink r:id="rId12" w:tgtFrame="_blank" w:history="1">
        <w:r w:rsidRPr="001025FC">
          <w:rPr>
            <w:rFonts w:ascii="Arial" w:eastAsia="Times New Roman" w:hAnsi="Arial" w:cs="Arial"/>
            <w:color w:val="005EB3"/>
            <w:kern w:val="0"/>
            <w:sz w:val="21"/>
            <w:szCs w:val="21"/>
            <w:lang w:eastAsia="it-IT"/>
            <w14:ligatures w14:val="none"/>
          </w:rPr>
          <w:t>stiamo assistendo</w:t>
        </w:r>
      </w:hyperlink>
      <w:r w:rsidRPr="001025FC">
        <w:rPr>
          <w:rFonts w:ascii="Arial" w:eastAsia="Times New Roman" w:hAnsi="Arial" w:cs="Arial"/>
          <w:color w:val="000000"/>
          <w:kern w:val="0"/>
          <w:sz w:val="21"/>
          <w:szCs w:val="21"/>
          <w:lang w:eastAsia="it-IT"/>
          <w14:ligatures w14:val="none"/>
        </w:rPr>
        <w:t> a notevoli </w:t>
      </w:r>
      <w:r w:rsidRPr="001025FC">
        <w:rPr>
          <w:rFonts w:ascii="Arial" w:eastAsia="Times New Roman" w:hAnsi="Arial" w:cs="Arial"/>
          <w:b/>
          <w:bCs/>
          <w:color w:val="000000"/>
          <w:kern w:val="0"/>
          <w:sz w:val="21"/>
          <w:szCs w:val="21"/>
          <w:lang w:eastAsia="it-IT"/>
          <w14:ligatures w14:val="none"/>
        </w:rPr>
        <w:t>passi indietro</w:t>
      </w:r>
      <w:r w:rsidRPr="001025FC">
        <w:rPr>
          <w:rFonts w:ascii="Arial" w:eastAsia="Times New Roman" w:hAnsi="Arial" w:cs="Arial"/>
          <w:color w:val="000000"/>
          <w:kern w:val="0"/>
          <w:sz w:val="21"/>
          <w:szCs w:val="21"/>
          <w:lang w:eastAsia="it-IT"/>
          <w14:ligatures w14:val="none"/>
        </w:rPr>
        <w:t> rispetto a quello che abbiamo chiamato processo di semplificazione delle procedure amministrative e su cui il medesimo Ministero ha assunto nell’aprile del 2023 precisi </w:t>
      </w:r>
      <w:r w:rsidRPr="001025FC">
        <w:rPr>
          <w:rFonts w:ascii="Arial" w:eastAsia="Times New Roman" w:hAnsi="Arial" w:cs="Arial"/>
          <w:b/>
          <w:bCs/>
          <w:color w:val="000000"/>
          <w:kern w:val="0"/>
          <w:sz w:val="21"/>
          <w:szCs w:val="21"/>
          <w:lang w:eastAsia="it-IT"/>
          <w14:ligatures w14:val="none"/>
        </w:rPr>
        <w:t>impegni che non vengono rispettati</w:t>
      </w:r>
      <w:r w:rsidRPr="001025FC">
        <w:rPr>
          <w:rFonts w:ascii="Arial" w:eastAsia="Times New Roman" w:hAnsi="Arial" w:cs="Arial"/>
          <w:color w:val="000000"/>
          <w:kern w:val="0"/>
          <w:sz w:val="21"/>
          <w:szCs w:val="21"/>
          <w:lang w:eastAsia="it-IT"/>
          <w14:ligatures w14:val="none"/>
        </w:rPr>
        <w:t>.</w:t>
      </w:r>
      <w:r w:rsidRPr="001025FC">
        <w:rPr>
          <w:rFonts w:ascii="Arial" w:eastAsia="Times New Roman" w:hAnsi="Arial" w:cs="Arial"/>
          <w:color w:val="000000"/>
          <w:kern w:val="0"/>
          <w:sz w:val="21"/>
          <w:szCs w:val="21"/>
          <w:lang w:eastAsia="it-IT"/>
          <w14:ligatures w14:val="none"/>
        </w:rPr>
        <w:br/>
        <w:t>Ci riferiamo ad alcune </w:t>
      </w:r>
      <w:hyperlink r:id="rId13" w:tgtFrame="_blank" w:history="1">
        <w:r w:rsidRPr="001025FC">
          <w:rPr>
            <w:rFonts w:ascii="Arial" w:eastAsia="Times New Roman" w:hAnsi="Arial" w:cs="Arial"/>
            <w:color w:val="005EB3"/>
            <w:kern w:val="0"/>
            <w:sz w:val="21"/>
            <w:szCs w:val="21"/>
            <w:lang w:eastAsia="it-IT"/>
            <w14:ligatures w14:val="none"/>
          </w:rPr>
          <w:t>recenti misure</w:t>
        </w:r>
      </w:hyperlink>
      <w:r w:rsidRPr="001025FC">
        <w:rPr>
          <w:rFonts w:ascii="Arial" w:eastAsia="Times New Roman" w:hAnsi="Arial" w:cs="Arial"/>
          <w:color w:val="000000"/>
          <w:kern w:val="0"/>
          <w:sz w:val="21"/>
          <w:szCs w:val="21"/>
          <w:lang w:eastAsia="it-IT"/>
          <w14:ligatures w14:val="none"/>
        </w:rPr>
        <w:t> che vanno in </w:t>
      </w:r>
      <w:r w:rsidRPr="001025FC">
        <w:rPr>
          <w:rFonts w:ascii="Arial" w:eastAsia="Times New Roman" w:hAnsi="Arial" w:cs="Arial"/>
          <w:b/>
          <w:bCs/>
          <w:color w:val="000000"/>
          <w:kern w:val="0"/>
          <w:sz w:val="21"/>
          <w:szCs w:val="21"/>
          <w:lang w:eastAsia="it-IT"/>
          <w14:ligatures w14:val="none"/>
        </w:rPr>
        <w:t>direzione esattamente opposta al cammino della semplificazione</w:t>
      </w:r>
      <w:r w:rsidRPr="001025FC">
        <w:rPr>
          <w:rFonts w:ascii="Arial" w:eastAsia="Times New Roman" w:hAnsi="Arial" w:cs="Arial"/>
          <w:color w:val="000000"/>
          <w:kern w:val="0"/>
          <w:sz w:val="21"/>
          <w:szCs w:val="21"/>
          <w:lang w:eastAsia="it-IT"/>
          <w14:ligatures w14:val="none"/>
        </w:rPr>
        <w:t>.</w:t>
      </w:r>
    </w:p>
    <w:p w14:paraId="2BADA715" w14:textId="77777777"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color w:val="000000"/>
          <w:kern w:val="0"/>
          <w:sz w:val="21"/>
          <w:szCs w:val="21"/>
          <w:lang w:eastAsia="it-IT"/>
          <w14:ligatures w14:val="none"/>
        </w:rPr>
        <w:t>Innanzitutto la </w:t>
      </w:r>
      <w:r w:rsidRPr="001025FC">
        <w:rPr>
          <w:rFonts w:ascii="Arial" w:eastAsia="Times New Roman" w:hAnsi="Arial" w:cs="Arial"/>
          <w:b/>
          <w:bCs/>
          <w:color w:val="000000"/>
          <w:kern w:val="0"/>
          <w:sz w:val="21"/>
          <w:szCs w:val="21"/>
          <w:lang w:eastAsia="it-IT"/>
          <w14:ligatures w14:val="none"/>
        </w:rPr>
        <w:t>continuità del rapporto di lavoro per i collaboratori scolastici</w:t>
      </w:r>
      <w:r w:rsidRPr="001025FC">
        <w:rPr>
          <w:rFonts w:ascii="Arial" w:eastAsia="Times New Roman" w:hAnsi="Arial" w:cs="Arial"/>
          <w:color w:val="000000"/>
          <w:kern w:val="0"/>
          <w:sz w:val="21"/>
          <w:szCs w:val="21"/>
          <w:lang w:eastAsia="it-IT"/>
          <w14:ligatures w14:val="none"/>
        </w:rPr>
        <w:t> assunti per l’implementazione del PNNR e Agenda Sud ha una </w:t>
      </w:r>
      <w:r w:rsidRPr="001025FC">
        <w:rPr>
          <w:rFonts w:ascii="Arial" w:eastAsia="Times New Roman" w:hAnsi="Arial" w:cs="Arial"/>
          <w:b/>
          <w:bCs/>
          <w:color w:val="000000"/>
          <w:kern w:val="0"/>
          <w:sz w:val="21"/>
          <w:szCs w:val="21"/>
          <w:lang w:eastAsia="it-IT"/>
          <w14:ligatures w14:val="none"/>
        </w:rPr>
        <w:t>durata limitata</w:t>
      </w:r>
      <w:r w:rsidRPr="001025FC">
        <w:rPr>
          <w:rFonts w:ascii="Arial" w:eastAsia="Times New Roman" w:hAnsi="Arial" w:cs="Arial"/>
          <w:color w:val="000000"/>
          <w:kern w:val="0"/>
          <w:sz w:val="21"/>
          <w:szCs w:val="21"/>
          <w:lang w:eastAsia="it-IT"/>
          <w14:ligatures w14:val="none"/>
        </w:rPr>
        <w:t> per nulla coerente con lo sviluppo temporale dei progetti che si proiettano fino al 2026.</w:t>
      </w:r>
    </w:p>
    <w:p w14:paraId="3FEFA2C0" w14:textId="77777777"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color w:val="000000"/>
          <w:kern w:val="0"/>
          <w:sz w:val="21"/>
          <w:szCs w:val="21"/>
          <w:lang w:eastAsia="it-IT"/>
          <w14:ligatures w14:val="none"/>
        </w:rPr>
        <w:t>In secondo luogo, per quanto riguarda le </w:t>
      </w:r>
      <w:r w:rsidRPr="001025FC">
        <w:rPr>
          <w:rFonts w:ascii="Arial" w:eastAsia="Times New Roman" w:hAnsi="Arial" w:cs="Arial"/>
          <w:b/>
          <w:bCs/>
          <w:color w:val="000000"/>
          <w:kern w:val="0"/>
          <w:sz w:val="21"/>
          <w:szCs w:val="21"/>
          <w:lang w:eastAsia="it-IT"/>
          <w14:ligatures w14:val="none"/>
        </w:rPr>
        <w:t>proroghe delle supplenze degli assistenti amministrativi e tecnici</w:t>
      </w:r>
      <w:r w:rsidRPr="001025FC">
        <w:rPr>
          <w:rFonts w:ascii="Arial" w:eastAsia="Times New Roman" w:hAnsi="Arial" w:cs="Arial"/>
          <w:color w:val="000000"/>
          <w:kern w:val="0"/>
          <w:sz w:val="21"/>
          <w:szCs w:val="21"/>
          <w:lang w:eastAsia="it-IT"/>
          <w14:ligatures w14:val="none"/>
        </w:rPr>
        <w:t>, tutta l’operazione mostra il suo carattere aleatorio dal momento che le risorse sono limitate e, secondo la massiva comunicazione inviata alle scuole, non sempre sono in grado di coprire interamente lo scopo per cui sono state stanziate.</w:t>
      </w:r>
    </w:p>
    <w:p w14:paraId="67437C96" w14:textId="77777777"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color w:val="000000"/>
          <w:kern w:val="0"/>
          <w:sz w:val="21"/>
          <w:szCs w:val="21"/>
          <w:lang w:eastAsia="it-IT"/>
          <w14:ligatures w14:val="none"/>
        </w:rPr>
        <w:t>Ancora, non si può non registrare il passo del gambero nella gestione delle risorse finalizzate alla corresponsione degli </w:t>
      </w:r>
      <w:r w:rsidRPr="001025FC">
        <w:rPr>
          <w:rFonts w:ascii="Arial" w:eastAsia="Times New Roman" w:hAnsi="Arial" w:cs="Arial"/>
          <w:b/>
          <w:bCs/>
          <w:color w:val="000000"/>
          <w:kern w:val="0"/>
          <w:sz w:val="21"/>
          <w:szCs w:val="21"/>
          <w:lang w:eastAsia="it-IT"/>
          <w14:ligatures w14:val="none"/>
        </w:rPr>
        <w:t>stipendi degli assistenti in proroga</w:t>
      </w:r>
      <w:r w:rsidRPr="001025FC">
        <w:rPr>
          <w:rFonts w:ascii="Arial" w:eastAsia="Times New Roman" w:hAnsi="Arial" w:cs="Arial"/>
          <w:color w:val="000000"/>
          <w:kern w:val="0"/>
          <w:sz w:val="21"/>
          <w:szCs w:val="21"/>
          <w:lang w:eastAsia="it-IT"/>
          <w14:ligatures w14:val="none"/>
        </w:rPr>
        <w:t xml:space="preserve">, giacché l’erogazione delle retribuzioni viene scaricata interamente sulle segreterie mentre ormai da tempo era acquisito che a farsene carico dovesse essere esclusivamente </w:t>
      </w:r>
      <w:proofErr w:type="spellStart"/>
      <w:r w:rsidRPr="001025FC">
        <w:rPr>
          <w:rFonts w:ascii="Arial" w:eastAsia="Times New Roman" w:hAnsi="Arial" w:cs="Arial"/>
          <w:color w:val="000000"/>
          <w:kern w:val="0"/>
          <w:sz w:val="21"/>
          <w:szCs w:val="21"/>
          <w:lang w:eastAsia="it-IT"/>
          <w14:ligatures w14:val="none"/>
        </w:rPr>
        <w:t>NoiPa</w:t>
      </w:r>
      <w:proofErr w:type="spellEnd"/>
      <w:r w:rsidRPr="001025FC">
        <w:rPr>
          <w:rFonts w:ascii="Arial" w:eastAsia="Times New Roman" w:hAnsi="Arial" w:cs="Arial"/>
          <w:color w:val="000000"/>
          <w:kern w:val="0"/>
          <w:sz w:val="21"/>
          <w:szCs w:val="21"/>
          <w:lang w:eastAsia="it-IT"/>
          <w14:ligatures w14:val="none"/>
        </w:rPr>
        <w:t>.</w:t>
      </w:r>
    </w:p>
    <w:p w14:paraId="230F625B" w14:textId="77777777"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color w:val="000000"/>
          <w:kern w:val="0"/>
          <w:sz w:val="21"/>
          <w:szCs w:val="21"/>
          <w:lang w:eastAsia="it-IT"/>
          <w14:ligatures w14:val="none"/>
        </w:rPr>
        <w:t>E infine, rimane il </w:t>
      </w:r>
      <w:r w:rsidRPr="001025FC">
        <w:rPr>
          <w:rFonts w:ascii="Arial" w:eastAsia="Times New Roman" w:hAnsi="Arial" w:cs="Arial"/>
          <w:b/>
          <w:bCs/>
          <w:color w:val="000000"/>
          <w:kern w:val="0"/>
          <w:sz w:val="21"/>
          <w:szCs w:val="21"/>
          <w:lang w:eastAsia="it-IT"/>
          <w14:ligatures w14:val="none"/>
        </w:rPr>
        <w:t>vergognoso trattamento riservato a molti supplenti</w:t>
      </w:r>
      <w:r w:rsidRPr="001025FC">
        <w:rPr>
          <w:rFonts w:ascii="Arial" w:eastAsia="Times New Roman" w:hAnsi="Arial" w:cs="Arial"/>
          <w:color w:val="000000"/>
          <w:kern w:val="0"/>
          <w:sz w:val="21"/>
          <w:szCs w:val="21"/>
          <w:lang w:eastAsia="it-IT"/>
          <w14:ligatures w14:val="none"/>
        </w:rPr>
        <w:t> che, come ogni anno, ultimi fra gli ultimi, devono attendere, da settembre fino a gennaio, la retribuzione maturata in quattro mesi di lavoro. E sì che nell’aprile del 2023 il Ministero dell’Istruzione aveva messo nel suo “Piano delle semplificazioni” il superamento definitivo di tale situazione entro dicembre 2023.</w:t>
      </w:r>
    </w:p>
    <w:p w14:paraId="203D0B10" w14:textId="77777777" w:rsidR="001025FC" w:rsidRPr="001025FC" w:rsidRDefault="001025FC" w:rsidP="001025F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25FC">
        <w:rPr>
          <w:rFonts w:ascii="Arial" w:eastAsia="Times New Roman" w:hAnsi="Arial" w:cs="Arial"/>
          <w:b/>
          <w:bCs/>
          <w:color w:val="000000"/>
          <w:kern w:val="0"/>
          <w:sz w:val="21"/>
          <w:szCs w:val="21"/>
          <w:lang w:eastAsia="it-IT"/>
          <w14:ligatures w14:val="none"/>
        </w:rPr>
        <w:t>La FLC CGIL chiede:</w:t>
      </w:r>
    </w:p>
    <w:p w14:paraId="60DE1BA9" w14:textId="77777777" w:rsidR="001025FC" w:rsidRPr="001025FC" w:rsidRDefault="001025FC" w:rsidP="001025FC">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025FC">
        <w:rPr>
          <w:rFonts w:ascii="Arial" w:eastAsia="Times New Roman" w:hAnsi="Arial" w:cs="Arial"/>
          <w:color w:val="000000"/>
          <w:kern w:val="0"/>
          <w:sz w:val="23"/>
          <w:szCs w:val="23"/>
          <w:lang w:eastAsia="it-IT"/>
          <w14:ligatures w14:val="none"/>
        </w:rPr>
        <w:t>la </w:t>
      </w:r>
      <w:r w:rsidRPr="001025FC">
        <w:rPr>
          <w:rFonts w:ascii="Arial" w:eastAsia="Times New Roman" w:hAnsi="Arial" w:cs="Arial"/>
          <w:b/>
          <w:bCs/>
          <w:color w:val="000000"/>
          <w:kern w:val="0"/>
          <w:sz w:val="23"/>
          <w:szCs w:val="23"/>
          <w:lang w:eastAsia="it-IT"/>
          <w14:ligatures w14:val="none"/>
        </w:rPr>
        <w:t>proroga senza discriminazioni dei contratti ATA, collaboratori e assistenti, fino a tutto il 2026</w:t>
      </w:r>
    </w:p>
    <w:p w14:paraId="43D7FABC" w14:textId="77777777" w:rsidR="001025FC" w:rsidRPr="001025FC" w:rsidRDefault="001025FC" w:rsidP="001025FC">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025FC">
        <w:rPr>
          <w:rFonts w:ascii="Arial" w:eastAsia="Times New Roman" w:hAnsi="Arial" w:cs="Arial"/>
          <w:color w:val="000000"/>
          <w:kern w:val="0"/>
          <w:sz w:val="23"/>
          <w:szCs w:val="23"/>
          <w:lang w:eastAsia="it-IT"/>
          <w14:ligatures w14:val="none"/>
        </w:rPr>
        <w:t>la </w:t>
      </w:r>
      <w:r w:rsidRPr="001025FC">
        <w:rPr>
          <w:rFonts w:ascii="Arial" w:eastAsia="Times New Roman" w:hAnsi="Arial" w:cs="Arial"/>
          <w:b/>
          <w:bCs/>
          <w:color w:val="000000"/>
          <w:kern w:val="0"/>
          <w:sz w:val="23"/>
          <w:szCs w:val="23"/>
          <w:lang w:eastAsia="it-IT"/>
          <w14:ligatures w14:val="none"/>
        </w:rPr>
        <w:t>certezza delle risorse</w:t>
      </w:r>
      <w:r w:rsidRPr="001025FC">
        <w:rPr>
          <w:rFonts w:ascii="Arial" w:eastAsia="Times New Roman" w:hAnsi="Arial" w:cs="Arial"/>
          <w:color w:val="000000"/>
          <w:kern w:val="0"/>
          <w:sz w:val="23"/>
          <w:szCs w:val="23"/>
          <w:lang w:eastAsia="it-IT"/>
          <w14:ligatures w14:val="none"/>
        </w:rPr>
        <w:t> da garantire con il primo strumento normativo utile</w:t>
      </w:r>
    </w:p>
    <w:p w14:paraId="4FBADE0E" w14:textId="77777777" w:rsidR="001025FC" w:rsidRPr="001025FC" w:rsidRDefault="001025FC" w:rsidP="001025FC">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025FC">
        <w:rPr>
          <w:rFonts w:ascii="Arial" w:eastAsia="Times New Roman" w:hAnsi="Arial" w:cs="Arial"/>
          <w:color w:val="000000"/>
          <w:kern w:val="0"/>
          <w:sz w:val="23"/>
          <w:szCs w:val="23"/>
          <w:lang w:eastAsia="it-IT"/>
          <w14:ligatures w14:val="none"/>
        </w:rPr>
        <w:t>l’</w:t>
      </w:r>
      <w:r w:rsidRPr="001025FC">
        <w:rPr>
          <w:rFonts w:ascii="Arial" w:eastAsia="Times New Roman" w:hAnsi="Arial" w:cs="Arial"/>
          <w:b/>
          <w:bCs/>
          <w:color w:val="000000"/>
          <w:kern w:val="0"/>
          <w:sz w:val="23"/>
          <w:szCs w:val="23"/>
          <w:lang w:eastAsia="it-IT"/>
          <w14:ligatures w14:val="none"/>
        </w:rPr>
        <w:t>erogazione tempestiva degli stipendi del personale supplente docente e ATA</w:t>
      </w:r>
    </w:p>
    <w:p w14:paraId="4EE59E2B" w14:textId="77777777" w:rsidR="001025FC" w:rsidRPr="001025FC" w:rsidRDefault="001025FC" w:rsidP="001025FC">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025FC">
        <w:rPr>
          <w:rFonts w:ascii="Arial" w:eastAsia="Times New Roman" w:hAnsi="Arial" w:cs="Arial"/>
          <w:color w:val="000000"/>
          <w:kern w:val="0"/>
          <w:sz w:val="23"/>
          <w:szCs w:val="23"/>
          <w:lang w:eastAsia="it-IT"/>
          <w14:ligatures w14:val="none"/>
        </w:rPr>
        <w:t>la</w:t>
      </w:r>
      <w:r w:rsidRPr="001025FC">
        <w:rPr>
          <w:rFonts w:ascii="Arial" w:eastAsia="Times New Roman" w:hAnsi="Arial" w:cs="Arial"/>
          <w:b/>
          <w:bCs/>
          <w:color w:val="000000"/>
          <w:kern w:val="0"/>
          <w:sz w:val="23"/>
          <w:szCs w:val="23"/>
          <w:lang w:eastAsia="it-IT"/>
          <w14:ligatures w14:val="none"/>
        </w:rPr>
        <w:t xml:space="preserve"> presa in carico dell’erogazione degli stipendi anche per i supplenti prorogati su PNRR da parte di </w:t>
      </w:r>
      <w:proofErr w:type="spellStart"/>
      <w:r w:rsidRPr="001025FC">
        <w:rPr>
          <w:rFonts w:ascii="Arial" w:eastAsia="Times New Roman" w:hAnsi="Arial" w:cs="Arial"/>
          <w:b/>
          <w:bCs/>
          <w:color w:val="000000"/>
          <w:kern w:val="0"/>
          <w:sz w:val="23"/>
          <w:szCs w:val="23"/>
          <w:lang w:eastAsia="it-IT"/>
          <w14:ligatures w14:val="none"/>
        </w:rPr>
        <w:t>NoiPa</w:t>
      </w:r>
      <w:proofErr w:type="spellEnd"/>
      <w:r w:rsidRPr="001025FC">
        <w:rPr>
          <w:rFonts w:ascii="Arial" w:eastAsia="Times New Roman" w:hAnsi="Arial" w:cs="Arial"/>
          <w:color w:val="000000"/>
          <w:kern w:val="0"/>
          <w:sz w:val="23"/>
          <w:szCs w:val="23"/>
          <w:lang w:eastAsia="it-IT"/>
          <w14:ligatures w14:val="none"/>
        </w:rPr>
        <w:t>, essendo tale incombenza un’attività che non compete alle scuole che, in quanto comunità educante, anche sul piano amministrativo, ha come finalità quella di assicurare in primo luogo la didattica e l’istruzione.</w:t>
      </w:r>
    </w:p>
    <w:p w14:paraId="5851C19F" w14:textId="77777777" w:rsidR="000D0D40" w:rsidRDefault="000D0D40"/>
    <w:p w14:paraId="3BEE9A8B" w14:textId="32957F63" w:rsidR="00191ECE" w:rsidRPr="00191ECE" w:rsidRDefault="00191ECE" w:rsidP="00191ECE">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91ECE">
        <w:rPr>
          <w:rFonts w:ascii="Tahoma" w:eastAsia="Times New Roman" w:hAnsi="Tahoma" w:cs="Tahoma"/>
          <w:color w:val="DC3B33"/>
          <w:kern w:val="36"/>
          <w:sz w:val="45"/>
          <w:szCs w:val="45"/>
          <w:lang w:eastAsia="it-IT"/>
          <w14:ligatures w14:val="none"/>
        </w:rPr>
        <w:lastRenderedPageBreak/>
        <w:t xml:space="preserve">Legge di bilancio 2024: interventi relativi ai settori della conoscenza </w:t>
      </w:r>
    </w:p>
    <w:p w14:paraId="4BABA953" w14:textId="77777777" w:rsidR="00191ECE" w:rsidRPr="00191ECE" w:rsidRDefault="00191ECE" w:rsidP="00191ECE">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91ECE">
        <w:rPr>
          <w:rFonts w:ascii="Arial" w:eastAsia="Times New Roman" w:hAnsi="Arial" w:cs="Arial"/>
          <w:color w:val="535353"/>
          <w:kern w:val="0"/>
          <w:sz w:val="27"/>
          <w:szCs w:val="27"/>
          <w:lang w:eastAsia="it-IT"/>
          <w14:ligatures w14:val="none"/>
        </w:rPr>
        <w:t>Approvata una legge senza risorse e regressiva: nessun investimento nei nostri settori, nessun piano strutturale per stabilizzare il personale precario e risorse insufficienti per il rinnovo del contratto 2022-2024</w:t>
      </w:r>
    </w:p>
    <w:p w14:paraId="138BC566" w14:textId="77777777" w:rsidR="00191ECE" w:rsidRPr="00191ECE" w:rsidRDefault="00191ECE" w:rsidP="00191ECE">
      <w:pPr>
        <w:shd w:val="clear" w:color="auto" w:fill="FFFFFF"/>
        <w:spacing w:after="0" w:line="240" w:lineRule="auto"/>
        <w:rPr>
          <w:rFonts w:ascii="Arial" w:eastAsia="Times New Roman" w:hAnsi="Arial" w:cs="Arial"/>
          <w:color w:val="4D4D4D"/>
          <w:kern w:val="0"/>
          <w:sz w:val="21"/>
          <w:szCs w:val="21"/>
          <w:lang w:eastAsia="it-IT"/>
          <w14:ligatures w14:val="none"/>
        </w:rPr>
      </w:pPr>
      <w:r w:rsidRPr="00191ECE">
        <w:rPr>
          <w:rFonts w:ascii="Arial" w:eastAsia="Times New Roman" w:hAnsi="Arial" w:cs="Arial"/>
          <w:b/>
          <w:bCs/>
          <w:color w:val="4D4D4D"/>
          <w:kern w:val="0"/>
          <w:sz w:val="21"/>
          <w:szCs w:val="21"/>
          <w:lang w:eastAsia="it-IT"/>
          <w14:ligatures w14:val="none"/>
        </w:rPr>
        <w:t>06/01/2024</w:t>
      </w:r>
    </w:p>
    <w:p w14:paraId="36B400F5" w14:textId="77777777" w:rsid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15887B8" w14:textId="56CAA1F4" w:rsidR="00191ECE" w:rsidRP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91ECE">
        <w:rPr>
          <w:rFonts w:ascii="Arial" w:eastAsia="Times New Roman" w:hAnsi="Arial" w:cs="Arial"/>
          <w:color w:val="000000"/>
          <w:kern w:val="0"/>
          <w:sz w:val="21"/>
          <w:szCs w:val="21"/>
          <w:lang w:eastAsia="it-IT"/>
          <w14:ligatures w14:val="none"/>
        </w:rPr>
        <w:t>È stato pubblicato in Gazzetta Ufficiale la </w:t>
      </w:r>
      <w:hyperlink r:id="rId14" w:tgtFrame="_blank" w:history="1">
        <w:r w:rsidRPr="00191ECE">
          <w:rPr>
            <w:rFonts w:ascii="Arial" w:eastAsia="Times New Roman" w:hAnsi="Arial" w:cs="Arial"/>
            <w:color w:val="005EB3"/>
            <w:kern w:val="0"/>
            <w:sz w:val="21"/>
            <w:szCs w:val="21"/>
            <w:lang w:eastAsia="it-IT"/>
            <w14:ligatures w14:val="none"/>
          </w:rPr>
          <w:t>legge 213 del 30 dicembre 2023</w:t>
        </w:r>
      </w:hyperlink>
      <w:r w:rsidRPr="00191ECE">
        <w:rPr>
          <w:rFonts w:ascii="Arial" w:eastAsia="Times New Roman" w:hAnsi="Arial" w:cs="Arial"/>
          <w:color w:val="000000"/>
          <w:kern w:val="0"/>
          <w:sz w:val="21"/>
          <w:szCs w:val="21"/>
          <w:lang w:eastAsia="it-IT"/>
          <w14:ligatures w14:val="none"/>
        </w:rPr>
        <w:t> “</w:t>
      </w:r>
      <w:r w:rsidRPr="00191ECE">
        <w:rPr>
          <w:rFonts w:ascii="Arial" w:eastAsia="Times New Roman" w:hAnsi="Arial" w:cs="Arial"/>
          <w:i/>
          <w:iCs/>
          <w:color w:val="000000"/>
          <w:kern w:val="0"/>
          <w:sz w:val="21"/>
          <w:szCs w:val="21"/>
          <w:lang w:eastAsia="it-IT"/>
          <w14:ligatures w14:val="none"/>
        </w:rPr>
        <w:t>Bilancio di previsione dello Stato per l’anno finanziario 2024 e bilancio pluriennale per il triennio 2024-2026</w:t>
      </w:r>
      <w:r w:rsidRPr="00191ECE">
        <w:rPr>
          <w:rFonts w:ascii="Arial" w:eastAsia="Times New Roman" w:hAnsi="Arial" w:cs="Arial"/>
          <w:color w:val="000000"/>
          <w:kern w:val="0"/>
          <w:sz w:val="21"/>
          <w:szCs w:val="21"/>
          <w:lang w:eastAsia="it-IT"/>
          <w14:ligatures w14:val="none"/>
        </w:rPr>
        <w:t>”.</w:t>
      </w:r>
    </w:p>
    <w:p w14:paraId="39D21FDA" w14:textId="77777777" w:rsidR="00191ECE" w:rsidRP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91ECE">
        <w:rPr>
          <w:rFonts w:ascii="Arial" w:eastAsia="Times New Roman" w:hAnsi="Arial" w:cs="Arial"/>
          <w:color w:val="000000"/>
          <w:kern w:val="0"/>
          <w:sz w:val="21"/>
          <w:szCs w:val="21"/>
          <w:lang w:eastAsia="it-IT"/>
          <w14:ligatures w14:val="none"/>
        </w:rPr>
        <w:t>Trova ulteriore conferma il </w:t>
      </w:r>
      <w:hyperlink r:id="rId15" w:tgtFrame="_blank" w:history="1">
        <w:r w:rsidRPr="00191ECE">
          <w:rPr>
            <w:rFonts w:ascii="Arial" w:eastAsia="Times New Roman" w:hAnsi="Arial" w:cs="Arial"/>
            <w:color w:val="005EB3"/>
            <w:kern w:val="0"/>
            <w:sz w:val="21"/>
            <w:szCs w:val="21"/>
            <w:lang w:eastAsia="it-IT"/>
            <w14:ligatures w14:val="none"/>
          </w:rPr>
          <w:t>giudizio negativo</w:t>
        </w:r>
      </w:hyperlink>
      <w:r w:rsidRPr="00191ECE">
        <w:rPr>
          <w:rFonts w:ascii="Arial" w:eastAsia="Times New Roman" w:hAnsi="Arial" w:cs="Arial"/>
          <w:color w:val="000000"/>
          <w:kern w:val="0"/>
          <w:sz w:val="21"/>
          <w:szCs w:val="21"/>
          <w:lang w:eastAsia="it-IT"/>
          <w14:ligatures w14:val="none"/>
        </w:rPr>
        <w:t xml:space="preserve"> che avevamo anticipato in occasione della pubblicazione della </w:t>
      </w:r>
      <w:proofErr w:type="spellStart"/>
      <w:r w:rsidRPr="00191ECE">
        <w:rPr>
          <w:rFonts w:ascii="Arial" w:eastAsia="Times New Roman" w:hAnsi="Arial" w:cs="Arial"/>
          <w:color w:val="000000"/>
          <w:kern w:val="0"/>
          <w:sz w:val="21"/>
          <w:szCs w:val="21"/>
          <w:lang w:eastAsia="it-IT"/>
          <w14:ligatures w14:val="none"/>
        </w:rPr>
        <w:t>Nadef</w:t>
      </w:r>
      <w:proofErr w:type="spellEnd"/>
      <w:r w:rsidRPr="00191ECE">
        <w:rPr>
          <w:rFonts w:ascii="Arial" w:eastAsia="Times New Roman" w:hAnsi="Arial" w:cs="Arial"/>
          <w:color w:val="000000"/>
          <w:kern w:val="0"/>
          <w:sz w:val="21"/>
          <w:szCs w:val="21"/>
          <w:lang w:eastAsia="it-IT"/>
          <w14:ligatures w14:val="none"/>
        </w:rPr>
        <w:t>:</w:t>
      </w:r>
    </w:p>
    <w:p w14:paraId="4D1CD1ED" w14:textId="77777777" w:rsidR="00191ECE" w:rsidRPr="00191ECE" w:rsidRDefault="00191ECE" w:rsidP="00191ECE">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91ECE">
        <w:rPr>
          <w:rFonts w:ascii="Arial" w:eastAsia="Times New Roman" w:hAnsi="Arial" w:cs="Arial"/>
          <w:b/>
          <w:bCs/>
          <w:color w:val="000000"/>
          <w:kern w:val="0"/>
          <w:sz w:val="23"/>
          <w:szCs w:val="23"/>
          <w:lang w:eastAsia="it-IT"/>
          <w14:ligatures w14:val="none"/>
        </w:rPr>
        <w:t>nessun investimento</w:t>
      </w:r>
      <w:r w:rsidRPr="00191ECE">
        <w:rPr>
          <w:rFonts w:ascii="Arial" w:eastAsia="Times New Roman" w:hAnsi="Arial" w:cs="Arial"/>
          <w:color w:val="000000"/>
          <w:kern w:val="0"/>
          <w:sz w:val="23"/>
          <w:szCs w:val="23"/>
          <w:lang w:eastAsia="it-IT"/>
          <w14:ligatures w14:val="none"/>
        </w:rPr>
        <w:t> nei settori della conoscenza</w:t>
      </w:r>
    </w:p>
    <w:p w14:paraId="65AE41DE" w14:textId="77777777" w:rsidR="00191ECE" w:rsidRPr="00191ECE" w:rsidRDefault="00191ECE" w:rsidP="00191ECE">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91ECE">
        <w:rPr>
          <w:rFonts w:ascii="Arial" w:eastAsia="Times New Roman" w:hAnsi="Arial" w:cs="Arial"/>
          <w:b/>
          <w:bCs/>
          <w:color w:val="000000"/>
          <w:kern w:val="0"/>
          <w:sz w:val="23"/>
          <w:szCs w:val="23"/>
          <w:lang w:eastAsia="it-IT"/>
          <w14:ligatures w14:val="none"/>
        </w:rPr>
        <w:t>nessun piano strutturale</w:t>
      </w:r>
      <w:r w:rsidRPr="00191ECE">
        <w:rPr>
          <w:rFonts w:ascii="Arial" w:eastAsia="Times New Roman" w:hAnsi="Arial" w:cs="Arial"/>
          <w:color w:val="000000"/>
          <w:kern w:val="0"/>
          <w:sz w:val="23"/>
          <w:szCs w:val="23"/>
          <w:lang w:eastAsia="it-IT"/>
          <w14:ligatures w14:val="none"/>
        </w:rPr>
        <w:t> per stabilizzare il personale precario</w:t>
      </w:r>
    </w:p>
    <w:p w14:paraId="6921DA81" w14:textId="77777777" w:rsidR="00191ECE" w:rsidRPr="00191ECE" w:rsidRDefault="00191ECE" w:rsidP="00191ECE">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191ECE">
        <w:rPr>
          <w:rFonts w:ascii="Arial" w:eastAsia="Times New Roman" w:hAnsi="Arial" w:cs="Arial"/>
          <w:b/>
          <w:bCs/>
          <w:color w:val="000000"/>
          <w:kern w:val="0"/>
          <w:sz w:val="23"/>
          <w:szCs w:val="23"/>
          <w:lang w:eastAsia="it-IT"/>
          <w14:ligatures w14:val="none"/>
        </w:rPr>
        <w:t>risorse insufficienti</w:t>
      </w:r>
      <w:r w:rsidRPr="00191ECE">
        <w:rPr>
          <w:rFonts w:ascii="Arial" w:eastAsia="Times New Roman" w:hAnsi="Arial" w:cs="Arial"/>
          <w:color w:val="000000"/>
          <w:kern w:val="0"/>
          <w:sz w:val="23"/>
          <w:szCs w:val="23"/>
          <w:lang w:eastAsia="it-IT"/>
          <w14:ligatures w14:val="none"/>
        </w:rPr>
        <w:t> per il rinnovo del contratto 2022-2024.</w:t>
      </w:r>
    </w:p>
    <w:p w14:paraId="52C8868A" w14:textId="77777777" w:rsidR="00191ECE" w:rsidRP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91ECE">
        <w:rPr>
          <w:rFonts w:ascii="Arial" w:eastAsia="Times New Roman" w:hAnsi="Arial" w:cs="Arial"/>
          <w:color w:val="000000"/>
          <w:kern w:val="0"/>
          <w:sz w:val="21"/>
          <w:szCs w:val="21"/>
          <w:lang w:eastAsia="it-IT"/>
          <w14:ligatures w14:val="none"/>
        </w:rPr>
        <w:t>Una </w:t>
      </w:r>
      <w:r w:rsidRPr="00191ECE">
        <w:rPr>
          <w:rFonts w:ascii="Arial" w:eastAsia="Times New Roman" w:hAnsi="Arial" w:cs="Arial"/>
          <w:b/>
          <w:bCs/>
          <w:color w:val="000000"/>
          <w:kern w:val="0"/>
          <w:sz w:val="21"/>
          <w:szCs w:val="21"/>
          <w:lang w:eastAsia="it-IT"/>
          <w14:ligatures w14:val="none"/>
        </w:rPr>
        <w:t>legge di bilancio finanziata sostanzialmente in deficit</w:t>
      </w:r>
      <w:r w:rsidRPr="00191ECE">
        <w:rPr>
          <w:rFonts w:ascii="Arial" w:eastAsia="Times New Roman" w:hAnsi="Arial" w:cs="Arial"/>
          <w:color w:val="000000"/>
          <w:kern w:val="0"/>
          <w:sz w:val="21"/>
          <w:szCs w:val="21"/>
          <w:lang w:eastAsia="it-IT"/>
          <w14:ligatures w14:val="none"/>
        </w:rPr>
        <w:t> per la gran parte, che prelude ad una nuova stagione di </w:t>
      </w:r>
      <w:r w:rsidRPr="00191ECE">
        <w:rPr>
          <w:rFonts w:ascii="Arial" w:eastAsia="Times New Roman" w:hAnsi="Arial" w:cs="Arial"/>
          <w:b/>
          <w:bCs/>
          <w:color w:val="000000"/>
          <w:kern w:val="0"/>
          <w:sz w:val="21"/>
          <w:szCs w:val="21"/>
          <w:lang w:eastAsia="it-IT"/>
          <w14:ligatures w14:val="none"/>
        </w:rPr>
        <w:t>tagli lineari</w:t>
      </w:r>
      <w:r w:rsidRPr="00191ECE">
        <w:rPr>
          <w:rFonts w:ascii="Arial" w:eastAsia="Times New Roman" w:hAnsi="Arial" w:cs="Arial"/>
          <w:color w:val="000000"/>
          <w:kern w:val="0"/>
          <w:sz w:val="21"/>
          <w:szCs w:val="21"/>
          <w:lang w:eastAsia="it-IT"/>
          <w14:ligatures w14:val="none"/>
        </w:rPr>
        <w:t> al sistema pubblico (circa 10 miliardi nei prossimi tre anni).</w:t>
      </w:r>
    </w:p>
    <w:p w14:paraId="71DE49C0" w14:textId="77777777" w:rsidR="00191ECE" w:rsidRP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91ECE">
        <w:rPr>
          <w:rFonts w:ascii="Arial" w:eastAsia="Times New Roman" w:hAnsi="Arial" w:cs="Arial"/>
          <w:color w:val="000000"/>
          <w:kern w:val="0"/>
          <w:sz w:val="21"/>
          <w:szCs w:val="21"/>
          <w:lang w:eastAsia="it-IT"/>
          <w14:ligatures w14:val="none"/>
        </w:rPr>
        <w:t>In particolare </w:t>
      </w:r>
      <w:r w:rsidRPr="00191ECE">
        <w:rPr>
          <w:rFonts w:ascii="Arial" w:eastAsia="Times New Roman" w:hAnsi="Arial" w:cs="Arial"/>
          <w:b/>
          <w:bCs/>
          <w:color w:val="000000"/>
          <w:kern w:val="0"/>
          <w:sz w:val="21"/>
          <w:szCs w:val="21"/>
          <w:lang w:eastAsia="it-IT"/>
          <w14:ligatures w14:val="none"/>
        </w:rPr>
        <w:t>sul </w:t>
      </w:r>
      <w:hyperlink r:id="rId16" w:tgtFrame="_blank" w:history="1">
        <w:r w:rsidRPr="00191ECE">
          <w:rPr>
            <w:rFonts w:ascii="Arial" w:eastAsia="Times New Roman" w:hAnsi="Arial" w:cs="Arial"/>
            <w:b/>
            <w:bCs/>
            <w:color w:val="005EB3"/>
            <w:kern w:val="0"/>
            <w:sz w:val="21"/>
            <w:szCs w:val="21"/>
            <w:lang w:eastAsia="it-IT"/>
            <w14:ligatures w14:val="none"/>
          </w:rPr>
          <w:t>rinnovo del CCNL 2022-2024</w:t>
        </w:r>
      </w:hyperlink>
      <w:r w:rsidRPr="00191ECE">
        <w:rPr>
          <w:rFonts w:ascii="Arial" w:eastAsia="Times New Roman" w:hAnsi="Arial" w:cs="Arial"/>
          <w:color w:val="000000"/>
          <w:kern w:val="0"/>
          <w:sz w:val="21"/>
          <w:szCs w:val="21"/>
          <w:lang w:eastAsia="it-IT"/>
          <w14:ligatures w14:val="none"/>
        </w:rPr>
        <w:t>, </w:t>
      </w:r>
      <w:r w:rsidRPr="00191ECE">
        <w:rPr>
          <w:rFonts w:ascii="Arial" w:eastAsia="Times New Roman" w:hAnsi="Arial" w:cs="Arial"/>
          <w:b/>
          <w:bCs/>
          <w:color w:val="000000"/>
          <w:kern w:val="0"/>
          <w:sz w:val="21"/>
          <w:szCs w:val="21"/>
          <w:lang w:eastAsia="it-IT"/>
          <w14:ligatures w14:val="none"/>
        </w:rPr>
        <w:t>il Governo stanzia 5 miliardi di euro che rappresentano poco meno di un terzo di quanto sarebbe dovuto ai lavoratori</w:t>
      </w:r>
      <w:r w:rsidRPr="00191ECE">
        <w:rPr>
          <w:rFonts w:ascii="Arial" w:eastAsia="Times New Roman" w:hAnsi="Arial" w:cs="Arial"/>
          <w:color w:val="000000"/>
          <w:kern w:val="0"/>
          <w:sz w:val="21"/>
          <w:szCs w:val="21"/>
          <w:lang w:eastAsia="it-IT"/>
          <w14:ligatures w14:val="none"/>
        </w:rPr>
        <w:t> di scuola, università, ricerca e AFAM sulla base dell’inflazione cumulata nel triennio.</w:t>
      </w:r>
    </w:p>
    <w:p w14:paraId="77C040FC" w14:textId="77777777" w:rsidR="00191ECE" w:rsidRDefault="00191ECE" w:rsidP="00191EC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91ECE">
        <w:rPr>
          <w:rFonts w:ascii="Arial" w:eastAsia="Times New Roman" w:hAnsi="Arial" w:cs="Arial"/>
          <w:color w:val="000000"/>
          <w:kern w:val="0"/>
          <w:sz w:val="21"/>
          <w:szCs w:val="21"/>
          <w:lang w:eastAsia="it-IT"/>
          <w14:ligatures w14:val="none"/>
        </w:rPr>
        <w:t>Proponiamo una serie di </w:t>
      </w:r>
      <w:hyperlink r:id="rId17" w:tgtFrame="_blank" w:history="1">
        <w:r w:rsidRPr="00191ECE">
          <w:rPr>
            <w:rFonts w:ascii="Arial" w:eastAsia="Times New Roman" w:hAnsi="Arial" w:cs="Arial"/>
            <w:color w:val="005EB3"/>
            <w:kern w:val="0"/>
            <w:sz w:val="21"/>
            <w:szCs w:val="21"/>
            <w:lang w:eastAsia="it-IT"/>
            <w14:ligatures w14:val="none"/>
          </w:rPr>
          <w:t>schede di lettura</w:t>
        </w:r>
      </w:hyperlink>
      <w:r w:rsidRPr="00191ECE">
        <w:rPr>
          <w:rFonts w:ascii="Arial" w:eastAsia="Times New Roman" w:hAnsi="Arial" w:cs="Arial"/>
          <w:color w:val="000000"/>
          <w:kern w:val="0"/>
          <w:sz w:val="21"/>
          <w:szCs w:val="21"/>
          <w:lang w:eastAsia="it-IT"/>
          <w14:ligatures w14:val="none"/>
        </w:rPr>
        <w:t> </w:t>
      </w:r>
      <w:r w:rsidRPr="00191ECE">
        <w:rPr>
          <w:rFonts w:ascii="Arial" w:eastAsia="Times New Roman" w:hAnsi="Arial" w:cs="Arial"/>
          <w:b/>
          <w:bCs/>
          <w:color w:val="000000"/>
          <w:kern w:val="0"/>
          <w:sz w:val="21"/>
          <w:szCs w:val="21"/>
          <w:lang w:eastAsia="it-IT"/>
          <w14:ligatures w14:val="none"/>
        </w:rPr>
        <w:t>analizzando</w:t>
      </w:r>
      <w:r w:rsidRPr="00191ECE">
        <w:rPr>
          <w:rFonts w:ascii="Arial" w:eastAsia="Times New Roman" w:hAnsi="Arial" w:cs="Arial"/>
          <w:color w:val="000000"/>
          <w:kern w:val="0"/>
          <w:sz w:val="21"/>
          <w:szCs w:val="21"/>
          <w:lang w:eastAsia="it-IT"/>
          <w14:ligatures w14:val="none"/>
        </w:rPr>
        <w:t> singolarmente ogni </w:t>
      </w:r>
      <w:r w:rsidRPr="00191ECE">
        <w:rPr>
          <w:rFonts w:ascii="Arial" w:eastAsia="Times New Roman" w:hAnsi="Arial" w:cs="Arial"/>
          <w:b/>
          <w:bCs/>
          <w:color w:val="000000"/>
          <w:kern w:val="0"/>
          <w:sz w:val="21"/>
          <w:szCs w:val="21"/>
          <w:lang w:eastAsia="it-IT"/>
          <w14:ligatures w14:val="none"/>
        </w:rPr>
        <w:t>disposizione normativa</w:t>
      </w:r>
      <w:r w:rsidRPr="00191ECE">
        <w:rPr>
          <w:rFonts w:ascii="Arial" w:eastAsia="Times New Roman" w:hAnsi="Arial" w:cs="Arial"/>
          <w:color w:val="000000"/>
          <w:kern w:val="0"/>
          <w:sz w:val="21"/>
          <w:szCs w:val="21"/>
          <w:lang w:eastAsia="it-IT"/>
          <w14:ligatures w14:val="none"/>
        </w:rPr>
        <w:t> ed esprimendo su ognuna di esse una </w:t>
      </w:r>
      <w:r w:rsidRPr="00191ECE">
        <w:rPr>
          <w:rFonts w:ascii="Arial" w:eastAsia="Times New Roman" w:hAnsi="Arial" w:cs="Arial"/>
          <w:b/>
          <w:bCs/>
          <w:color w:val="000000"/>
          <w:kern w:val="0"/>
          <w:sz w:val="21"/>
          <w:szCs w:val="21"/>
          <w:lang w:eastAsia="it-IT"/>
          <w14:ligatures w14:val="none"/>
        </w:rPr>
        <w:t>nostra valutazione</w:t>
      </w:r>
      <w:r w:rsidRPr="00191ECE">
        <w:rPr>
          <w:rFonts w:ascii="Arial" w:eastAsia="Times New Roman" w:hAnsi="Arial" w:cs="Arial"/>
          <w:color w:val="000000"/>
          <w:kern w:val="0"/>
          <w:sz w:val="21"/>
          <w:szCs w:val="21"/>
          <w:lang w:eastAsia="it-IT"/>
          <w14:ligatures w14:val="none"/>
        </w:rPr>
        <w:t> e avanzando specifiche proposte.</w:t>
      </w:r>
    </w:p>
    <w:sectPr w:rsidR="00191E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366"/>
    <w:multiLevelType w:val="multilevel"/>
    <w:tmpl w:val="652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578D0"/>
    <w:multiLevelType w:val="multilevel"/>
    <w:tmpl w:val="08F0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0378"/>
    <w:multiLevelType w:val="multilevel"/>
    <w:tmpl w:val="7ED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D224E"/>
    <w:multiLevelType w:val="multilevel"/>
    <w:tmpl w:val="82C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4978"/>
    <w:multiLevelType w:val="multilevel"/>
    <w:tmpl w:val="730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64479"/>
    <w:multiLevelType w:val="multilevel"/>
    <w:tmpl w:val="2962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A2A08"/>
    <w:multiLevelType w:val="multilevel"/>
    <w:tmpl w:val="8546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25864"/>
    <w:multiLevelType w:val="multilevel"/>
    <w:tmpl w:val="612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405BF"/>
    <w:multiLevelType w:val="multilevel"/>
    <w:tmpl w:val="3C8C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989985">
    <w:abstractNumId w:val="2"/>
  </w:num>
  <w:num w:numId="2" w16cid:durableId="165948167">
    <w:abstractNumId w:val="7"/>
  </w:num>
  <w:num w:numId="3" w16cid:durableId="1336615957">
    <w:abstractNumId w:val="8"/>
  </w:num>
  <w:num w:numId="4" w16cid:durableId="1504517177">
    <w:abstractNumId w:val="6"/>
  </w:num>
  <w:num w:numId="5" w16cid:durableId="858196804">
    <w:abstractNumId w:val="4"/>
  </w:num>
  <w:num w:numId="6" w16cid:durableId="2038847700">
    <w:abstractNumId w:val="0"/>
  </w:num>
  <w:num w:numId="7" w16cid:durableId="532159486">
    <w:abstractNumId w:val="3"/>
  </w:num>
  <w:num w:numId="8" w16cid:durableId="310451841">
    <w:abstractNumId w:val="5"/>
  </w:num>
  <w:num w:numId="9" w16cid:durableId="186509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FC"/>
    <w:rsid w:val="000D0D40"/>
    <w:rsid w:val="000D0EC2"/>
    <w:rsid w:val="001025FC"/>
    <w:rsid w:val="00191ECE"/>
    <w:rsid w:val="004725BD"/>
    <w:rsid w:val="00577B0C"/>
    <w:rsid w:val="00D35048"/>
    <w:rsid w:val="00DF4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8751"/>
  <w15:chartTrackingRefBased/>
  <w15:docId w15:val="{9B8B5D89-2415-4188-BAE9-1097A770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3643">
      <w:bodyDiv w:val="1"/>
      <w:marLeft w:val="0"/>
      <w:marRight w:val="0"/>
      <w:marTop w:val="0"/>
      <w:marBottom w:val="0"/>
      <w:divBdr>
        <w:top w:val="none" w:sz="0" w:space="0" w:color="auto"/>
        <w:left w:val="none" w:sz="0" w:space="0" w:color="auto"/>
        <w:bottom w:val="none" w:sz="0" w:space="0" w:color="auto"/>
        <w:right w:val="none" w:sz="0" w:space="0" w:color="auto"/>
      </w:divBdr>
      <w:divsChild>
        <w:div w:id="1870290651">
          <w:marLeft w:val="300"/>
          <w:marRight w:val="300"/>
          <w:marTop w:val="0"/>
          <w:marBottom w:val="0"/>
          <w:divBdr>
            <w:top w:val="none" w:sz="0" w:space="0" w:color="auto"/>
            <w:left w:val="none" w:sz="0" w:space="0" w:color="auto"/>
            <w:bottom w:val="none" w:sz="0" w:space="0" w:color="auto"/>
            <w:right w:val="none" w:sz="0" w:space="0" w:color="auto"/>
          </w:divBdr>
          <w:divsChild>
            <w:div w:id="621157914">
              <w:marLeft w:val="0"/>
              <w:marRight w:val="0"/>
              <w:marTop w:val="0"/>
              <w:marBottom w:val="0"/>
              <w:divBdr>
                <w:top w:val="none" w:sz="0" w:space="0" w:color="auto"/>
                <w:left w:val="none" w:sz="0" w:space="0" w:color="auto"/>
                <w:bottom w:val="none" w:sz="0" w:space="0" w:color="auto"/>
                <w:right w:val="none" w:sz="0" w:space="0" w:color="auto"/>
              </w:divBdr>
              <w:divsChild>
                <w:div w:id="774792440">
                  <w:marLeft w:val="0"/>
                  <w:marRight w:val="0"/>
                  <w:marTop w:val="150"/>
                  <w:marBottom w:val="150"/>
                  <w:divBdr>
                    <w:top w:val="none" w:sz="0" w:space="0" w:color="auto"/>
                    <w:left w:val="none" w:sz="0" w:space="0" w:color="auto"/>
                    <w:bottom w:val="single" w:sz="6" w:space="0" w:color="CCCCCC"/>
                    <w:right w:val="none" w:sz="0" w:space="0" w:color="auto"/>
                  </w:divBdr>
                  <w:divsChild>
                    <w:div w:id="2129544708">
                      <w:marLeft w:val="0"/>
                      <w:marRight w:val="0"/>
                      <w:marTop w:val="0"/>
                      <w:marBottom w:val="0"/>
                      <w:divBdr>
                        <w:top w:val="none" w:sz="0" w:space="0" w:color="auto"/>
                        <w:left w:val="none" w:sz="0" w:space="0" w:color="auto"/>
                        <w:bottom w:val="none" w:sz="0" w:space="0" w:color="auto"/>
                        <w:right w:val="none" w:sz="0" w:space="0" w:color="auto"/>
                      </w:divBdr>
                    </w:div>
                  </w:divsChild>
                </w:div>
                <w:div w:id="211157049">
                  <w:marLeft w:val="0"/>
                  <w:marRight w:val="0"/>
                  <w:marTop w:val="0"/>
                  <w:marBottom w:val="0"/>
                  <w:divBdr>
                    <w:top w:val="none" w:sz="0" w:space="0" w:color="auto"/>
                    <w:left w:val="none" w:sz="0" w:space="0" w:color="auto"/>
                    <w:bottom w:val="none" w:sz="0" w:space="0" w:color="auto"/>
                    <w:right w:val="none" w:sz="0" w:space="0" w:color="auto"/>
                  </w:divBdr>
                  <w:divsChild>
                    <w:div w:id="414715962">
                      <w:marLeft w:val="75"/>
                      <w:marRight w:val="150"/>
                      <w:marTop w:val="45"/>
                      <w:marBottom w:val="75"/>
                      <w:divBdr>
                        <w:top w:val="none" w:sz="0" w:space="0" w:color="auto"/>
                        <w:left w:val="none" w:sz="0" w:space="0" w:color="auto"/>
                        <w:bottom w:val="none" w:sz="0" w:space="0" w:color="auto"/>
                        <w:right w:val="none" w:sz="0" w:space="0" w:color="auto"/>
                      </w:divBdr>
                    </w:div>
                    <w:div w:id="530844975">
                      <w:marLeft w:val="300"/>
                      <w:marRight w:val="150"/>
                      <w:marTop w:val="75"/>
                      <w:marBottom w:val="0"/>
                      <w:divBdr>
                        <w:top w:val="none" w:sz="0" w:space="0" w:color="auto"/>
                        <w:left w:val="none" w:sz="0" w:space="0" w:color="auto"/>
                        <w:bottom w:val="none" w:sz="0" w:space="0" w:color="auto"/>
                        <w:right w:val="none" w:sz="0" w:space="0" w:color="auto"/>
                      </w:divBdr>
                    </w:div>
                    <w:div w:id="1114136309">
                      <w:marLeft w:val="300"/>
                      <w:marRight w:val="150"/>
                      <w:marTop w:val="75"/>
                      <w:marBottom w:val="0"/>
                      <w:divBdr>
                        <w:top w:val="none" w:sz="0" w:space="0" w:color="auto"/>
                        <w:left w:val="none" w:sz="0" w:space="0" w:color="auto"/>
                        <w:bottom w:val="none" w:sz="0" w:space="0" w:color="auto"/>
                        <w:right w:val="none" w:sz="0" w:space="0" w:color="auto"/>
                      </w:divBdr>
                    </w:div>
                  </w:divsChild>
                </w:div>
                <w:div w:id="1943102463">
                  <w:marLeft w:val="0"/>
                  <w:marRight w:val="0"/>
                  <w:marTop w:val="75"/>
                  <w:marBottom w:val="150"/>
                  <w:divBdr>
                    <w:top w:val="none" w:sz="0" w:space="0" w:color="auto"/>
                    <w:left w:val="none" w:sz="0" w:space="0" w:color="auto"/>
                    <w:bottom w:val="none" w:sz="0" w:space="0" w:color="auto"/>
                    <w:right w:val="none" w:sz="0" w:space="0" w:color="auto"/>
                  </w:divBdr>
                  <w:divsChild>
                    <w:div w:id="389547175">
                      <w:marLeft w:val="0"/>
                      <w:marRight w:val="0"/>
                      <w:marTop w:val="0"/>
                      <w:marBottom w:val="0"/>
                      <w:divBdr>
                        <w:top w:val="none" w:sz="0" w:space="0" w:color="auto"/>
                        <w:left w:val="none" w:sz="0" w:space="0" w:color="auto"/>
                        <w:bottom w:val="none" w:sz="0" w:space="0" w:color="auto"/>
                        <w:right w:val="none" w:sz="0" w:space="0" w:color="auto"/>
                      </w:divBdr>
                    </w:div>
                  </w:divsChild>
                </w:div>
                <w:div w:id="1203009542">
                  <w:marLeft w:val="0"/>
                  <w:marRight w:val="0"/>
                  <w:marTop w:val="0"/>
                  <w:marBottom w:val="0"/>
                  <w:divBdr>
                    <w:top w:val="none" w:sz="0" w:space="0" w:color="auto"/>
                    <w:left w:val="none" w:sz="0" w:space="0" w:color="auto"/>
                    <w:bottom w:val="none" w:sz="0" w:space="0" w:color="auto"/>
                    <w:right w:val="none" w:sz="0" w:space="0" w:color="auto"/>
                  </w:divBdr>
                  <w:divsChild>
                    <w:div w:id="1635796119">
                      <w:marLeft w:val="75"/>
                      <w:marRight w:val="150"/>
                      <w:marTop w:val="45"/>
                      <w:marBottom w:val="75"/>
                      <w:divBdr>
                        <w:top w:val="none" w:sz="0" w:space="0" w:color="auto"/>
                        <w:left w:val="none" w:sz="0" w:space="0" w:color="auto"/>
                        <w:bottom w:val="none" w:sz="0" w:space="0" w:color="auto"/>
                        <w:right w:val="none" w:sz="0" w:space="0" w:color="auto"/>
                      </w:divBdr>
                    </w:div>
                    <w:div w:id="2070108201">
                      <w:marLeft w:val="300"/>
                      <w:marRight w:val="150"/>
                      <w:marTop w:val="75"/>
                      <w:marBottom w:val="0"/>
                      <w:divBdr>
                        <w:top w:val="none" w:sz="0" w:space="0" w:color="auto"/>
                        <w:left w:val="none" w:sz="0" w:space="0" w:color="auto"/>
                        <w:bottom w:val="none" w:sz="0" w:space="0" w:color="auto"/>
                        <w:right w:val="none" w:sz="0" w:space="0" w:color="auto"/>
                      </w:divBdr>
                    </w:div>
                    <w:div w:id="1026520654">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128309916">
          <w:marLeft w:val="0"/>
          <w:marRight w:val="0"/>
          <w:marTop w:val="0"/>
          <w:marBottom w:val="0"/>
          <w:divBdr>
            <w:top w:val="none" w:sz="0" w:space="0" w:color="auto"/>
            <w:left w:val="none" w:sz="0" w:space="0" w:color="auto"/>
            <w:bottom w:val="none" w:sz="0" w:space="0" w:color="auto"/>
            <w:right w:val="none" w:sz="0" w:space="0" w:color="auto"/>
          </w:divBdr>
          <w:divsChild>
            <w:div w:id="217714800">
              <w:marLeft w:val="0"/>
              <w:marRight w:val="0"/>
              <w:marTop w:val="0"/>
              <w:marBottom w:val="0"/>
              <w:divBdr>
                <w:top w:val="none" w:sz="0" w:space="0" w:color="auto"/>
                <w:left w:val="none" w:sz="0" w:space="0" w:color="auto"/>
                <w:bottom w:val="single" w:sz="6" w:space="8" w:color="D9D9D9"/>
                <w:right w:val="none" w:sz="0" w:space="0" w:color="auto"/>
              </w:divBdr>
            </w:div>
            <w:div w:id="670378630">
              <w:marLeft w:val="0"/>
              <w:marRight w:val="0"/>
              <w:marTop w:val="0"/>
              <w:marBottom w:val="150"/>
              <w:divBdr>
                <w:top w:val="none" w:sz="0" w:space="0" w:color="auto"/>
                <w:left w:val="none" w:sz="0" w:space="0" w:color="auto"/>
                <w:bottom w:val="none" w:sz="0" w:space="0" w:color="auto"/>
                <w:right w:val="none" w:sz="0" w:space="0" w:color="auto"/>
              </w:divBdr>
            </w:div>
            <w:div w:id="1695039763">
              <w:marLeft w:val="0"/>
              <w:marRight w:val="0"/>
              <w:marTop w:val="0"/>
              <w:marBottom w:val="0"/>
              <w:divBdr>
                <w:top w:val="none" w:sz="0" w:space="0" w:color="auto"/>
                <w:left w:val="none" w:sz="0" w:space="0" w:color="auto"/>
                <w:bottom w:val="single" w:sz="6" w:space="8" w:color="D9D9D9"/>
                <w:right w:val="none" w:sz="0" w:space="0" w:color="auto"/>
              </w:divBdr>
            </w:div>
            <w:div w:id="348072299">
              <w:marLeft w:val="0"/>
              <w:marRight w:val="0"/>
              <w:marTop w:val="0"/>
              <w:marBottom w:val="0"/>
              <w:divBdr>
                <w:top w:val="none" w:sz="0" w:space="0" w:color="auto"/>
                <w:left w:val="none" w:sz="0" w:space="0" w:color="auto"/>
                <w:bottom w:val="single" w:sz="6" w:space="8" w:color="D9D9D9"/>
                <w:right w:val="none" w:sz="0" w:space="0" w:color="auto"/>
              </w:divBdr>
            </w:div>
          </w:divsChild>
        </w:div>
      </w:divsChild>
    </w:div>
    <w:div w:id="632756543">
      <w:bodyDiv w:val="1"/>
      <w:marLeft w:val="0"/>
      <w:marRight w:val="0"/>
      <w:marTop w:val="0"/>
      <w:marBottom w:val="0"/>
      <w:divBdr>
        <w:top w:val="none" w:sz="0" w:space="0" w:color="auto"/>
        <w:left w:val="none" w:sz="0" w:space="0" w:color="auto"/>
        <w:bottom w:val="none" w:sz="0" w:space="0" w:color="auto"/>
        <w:right w:val="none" w:sz="0" w:space="0" w:color="auto"/>
      </w:divBdr>
      <w:divsChild>
        <w:div w:id="1078090153">
          <w:marLeft w:val="0"/>
          <w:marRight w:val="0"/>
          <w:marTop w:val="150"/>
          <w:marBottom w:val="150"/>
          <w:divBdr>
            <w:top w:val="none" w:sz="0" w:space="0" w:color="auto"/>
            <w:left w:val="none" w:sz="0" w:space="0" w:color="auto"/>
            <w:bottom w:val="single" w:sz="6" w:space="0" w:color="CCCCCC"/>
            <w:right w:val="none" w:sz="0" w:space="0" w:color="auto"/>
          </w:divBdr>
          <w:divsChild>
            <w:div w:id="2145733395">
              <w:marLeft w:val="0"/>
              <w:marRight w:val="0"/>
              <w:marTop w:val="0"/>
              <w:marBottom w:val="0"/>
              <w:divBdr>
                <w:top w:val="none" w:sz="0" w:space="0" w:color="auto"/>
                <w:left w:val="none" w:sz="0" w:space="0" w:color="auto"/>
                <w:bottom w:val="none" w:sz="0" w:space="0" w:color="auto"/>
                <w:right w:val="none" w:sz="0" w:space="0" w:color="auto"/>
              </w:divBdr>
            </w:div>
          </w:divsChild>
        </w:div>
        <w:div w:id="1363557322">
          <w:marLeft w:val="0"/>
          <w:marRight w:val="0"/>
          <w:marTop w:val="0"/>
          <w:marBottom w:val="0"/>
          <w:divBdr>
            <w:top w:val="none" w:sz="0" w:space="0" w:color="auto"/>
            <w:left w:val="none" w:sz="0" w:space="0" w:color="auto"/>
            <w:bottom w:val="none" w:sz="0" w:space="0" w:color="auto"/>
            <w:right w:val="none" w:sz="0" w:space="0" w:color="auto"/>
          </w:divBdr>
          <w:divsChild>
            <w:div w:id="1082989126">
              <w:marLeft w:val="75"/>
              <w:marRight w:val="150"/>
              <w:marTop w:val="45"/>
              <w:marBottom w:val="75"/>
              <w:divBdr>
                <w:top w:val="none" w:sz="0" w:space="0" w:color="auto"/>
                <w:left w:val="none" w:sz="0" w:space="0" w:color="auto"/>
                <w:bottom w:val="none" w:sz="0" w:space="0" w:color="auto"/>
                <w:right w:val="none" w:sz="0" w:space="0" w:color="auto"/>
              </w:divBdr>
            </w:div>
            <w:div w:id="1825000710">
              <w:marLeft w:val="300"/>
              <w:marRight w:val="150"/>
              <w:marTop w:val="75"/>
              <w:marBottom w:val="0"/>
              <w:divBdr>
                <w:top w:val="none" w:sz="0" w:space="0" w:color="auto"/>
                <w:left w:val="none" w:sz="0" w:space="0" w:color="auto"/>
                <w:bottom w:val="none" w:sz="0" w:space="0" w:color="auto"/>
                <w:right w:val="none" w:sz="0" w:space="0" w:color="auto"/>
              </w:divBdr>
            </w:div>
            <w:div w:id="48650825">
              <w:marLeft w:val="300"/>
              <w:marRight w:val="150"/>
              <w:marTop w:val="75"/>
              <w:marBottom w:val="0"/>
              <w:divBdr>
                <w:top w:val="none" w:sz="0" w:space="0" w:color="auto"/>
                <w:left w:val="none" w:sz="0" w:space="0" w:color="auto"/>
                <w:bottom w:val="none" w:sz="0" w:space="0" w:color="auto"/>
                <w:right w:val="none" w:sz="0" w:space="0" w:color="auto"/>
              </w:divBdr>
            </w:div>
          </w:divsChild>
        </w:div>
        <w:div w:id="1408309107">
          <w:marLeft w:val="0"/>
          <w:marRight w:val="0"/>
          <w:marTop w:val="75"/>
          <w:marBottom w:val="150"/>
          <w:divBdr>
            <w:top w:val="none" w:sz="0" w:space="0" w:color="auto"/>
            <w:left w:val="none" w:sz="0" w:space="0" w:color="auto"/>
            <w:bottom w:val="none" w:sz="0" w:space="0" w:color="auto"/>
            <w:right w:val="none" w:sz="0" w:space="0" w:color="auto"/>
          </w:divBdr>
          <w:divsChild>
            <w:div w:id="44571427">
              <w:marLeft w:val="0"/>
              <w:marRight w:val="0"/>
              <w:marTop w:val="45"/>
              <w:marBottom w:val="0"/>
              <w:divBdr>
                <w:top w:val="none" w:sz="0" w:space="0" w:color="auto"/>
                <w:left w:val="single" w:sz="48" w:space="0" w:color="FFFFFF"/>
                <w:bottom w:val="single" w:sz="48" w:space="0" w:color="FFFFFF"/>
                <w:right w:val="none" w:sz="0" w:space="0" w:color="auto"/>
              </w:divBdr>
              <w:divsChild>
                <w:div w:id="206945212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30005624">
      <w:bodyDiv w:val="1"/>
      <w:marLeft w:val="0"/>
      <w:marRight w:val="0"/>
      <w:marTop w:val="0"/>
      <w:marBottom w:val="0"/>
      <w:divBdr>
        <w:top w:val="none" w:sz="0" w:space="0" w:color="auto"/>
        <w:left w:val="none" w:sz="0" w:space="0" w:color="auto"/>
        <w:bottom w:val="none" w:sz="0" w:space="0" w:color="auto"/>
        <w:right w:val="none" w:sz="0" w:space="0" w:color="auto"/>
      </w:divBdr>
      <w:divsChild>
        <w:div w:id="243539772">
          <w:marLeft w:val="0"/>
          <w:marRight w:val="0"/>
          <w:marTop w:val="150"/>
          <w:marBottom w:val="150"/>
          <w:divBdr>
            <w:top w:val="none" w:sz="0" w:space="0" w:color="auto"/>
            <w:left w:val="none" w:sz="0" w:space="0" w:color="auto"/>
            <w:bottom w:val="single" w:sz="6" w:space="0" w:color="CCCCCC"/>
            <w:right w:val="none" w:sz="0" w:space="0" w:color="auto"/>
          </w:divBdr>
          <w:divsChild>
            <w:div w:id="308050082">
              <w:marLeft w:val="0"/>
              <w:marRight w:val="0"/>
              <w:marTop w:val="0"/>
              <w:marBottom w:val="0"/>
              <w:divBdr>
                <w:top w:val="none" w:sz="0" w:space="0" w:color="auto"/>
                <w:left w:val="none" w:sz="0" w:space="0" w:color="auto"/>
                <w:bottom w:val="none" w:sz="0" w:space="0" w:color="auto"/>
                <w:right w:val="none" w:sz="0" w:space="0" w:color="auto"/>
              </w:divBdr>
            </w:div>
          </w:divsChild>
        </w:div>
        <w:div w:id="1924751720">
          <w:marLeft w:val="0"/>
          <w:marRight w:val="0"/>
          <w:marTop w:val="0"/>
          <w:marBottom w:val="0"/>
          <w:divBdr>
            <w:top w:val="none" w:sz="0" w:space="0" w:color="auto"/>
            <w:left w:val="none" w:sz="0" w:space="0" w:color="auto"/>
            <w:bottom w:val="none" w:sz="0" w:space="0" w:color="auto"/>
            <w:right w:val="none" w:sz="0" w:space="0" w:color="auto"/>
          </w:divBdr>
          <w:divsChild>
            <w:div w:id="1261527953">
              <w:marLeft w:val="75"/>
              <w:marRight w:val="150"/>
              <w:marTop w:val="45"/>
              <w:marBottom w:val="75"/>
              <w:divBdr>
                <w:top w:val="none" w:sz="0" w:space="0" w:color="auto"/>
                <w:left w:val="none" w:sz="0" w:space="0" w:color="auto"/>
                <w:bottom w:val="none" w:sz="0" w:space="0" w:color="auto"/>
                <w:right w:val="none" w:sz="0" w:space="0" w:color="auto"/>
              </w:divBdr>
            </w:div>
            <w:div w:id="1219781830">
              <w:marLeft w:val="300"/>
              <w:marRight w:val="150"/>
              <w:marTop w:val="75"/>
              <w:marBottom w:val="0"/>
              <w:divBdr>
                <w:top w:val="none" w:sz="0" w:space="0" w:color="auto"/>
                <w:left w:val="none" w:sz="0" w:space="0" w:color="auto"/>
                <w:bottom w:val="none" w:sz="0" w:space="0" w:color="auto"/>
                <w:right w:val="none" w:sz="0" w:space="0" w:color="auto"/>
              </w:divBdr>
            </w:div>
            <w:div w:id="580337875">
              <w:marLeft w:val="300"/>
              <w:marRight w:val="150"/>
              <w:marTop w:val="75"/>
              <w:marBottom w:val="0"/>
              <w:divBdr>
                <w:top w:val="none" w:sz="0" w:space="0" w:color="auto"/>
                <w:left w:val="none" w:sz="0" w:space="0" w:color="auto"/>
                <w:bottom w:val="none" w:sz="0" w:space="0" w:color="auto"/>
                <w:right w:val="none" w:sz="0" w:space="0" w:color="auto"/>
              </w:divBdr>
            </w:div>
          </w:divsChild>
        </w:div>
        <w:div w:id="184295555">
          <w:marLeft w:val="0"/>
          <w:marRight w:val="0"/>
          <w:marTop w:val="75"/>
          <w:marBottom w:val="150"/>
          <w:divBdr>
            <w:top w:val="none" w:sz="0" w:space="0" w:color="auto"/>
            <w:left w:val="none" w:sz="0" w:space="0" w:color="auto"/>
            <w:bottom w:val="none" w:sz="0" w:space="0" w:color="auto"/>
            <w:right w:val="none" w:sz="0" w:space="0" w:color="auto"/>
          </w:divBdr>
          <w:divsChild>
            <w:div w:id="530074877">
              <w:marLeft w:val="0"/>
              <w:marRight w:val="0"/>
              <w:marTop w:val="45"/>
              <w:marBottom w:val="0"/>
              <w:divBdr>
                <w:top w:val="none" w:sz="0" w:space="0" w:color="auto"/>
                <w:left w:val="single" w:sz="48" w:space="0" w:color="FFFFFF"/>
                <w:bottom w:val="single" w:sz="48" w:space="0" w:color="FFFFFF"/>
                <w:right w:val="none" w:sz="0" w:space="0" w:color="auto"/>
              </w:divBdr>
              <w:divsChild>
                <w:div w:id="203615036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866016213">
      <w:bodyDiv w:val="1"/>
      <w:marLeft w:val="0"/>
      <w:marRight w:val="0"/>
      <w:marTop w:val="0"/>
      <w:marBottom w:val="0"/>
      <w:divBdr>
        <w:top w:val="none" w:sz="0" w:space="0" w:color="auto"/>
        <w:left w:val="none" w:sz="0" w:space="0" w:color="auto"/>
        <w:bottom w:val="none" w:sz="0" w:space="0" w:color="auto"/>
        <w:right w:val="none" w:sz="0" w:space="0" w:color="auto"/>
      </w:divBdr>
      <w:divsChild>
        <w:div w:id="290599050">
          <w:marLeft w:val="0"/>
          <w:marRight w:val="0"/>
          <w:marTop w:val="150"/>
          <w:marBottom w:val="150"/>
          <w:divBdr>
            <w:top w:val="none" w:sz="0" w:space="0" w:color="auto"/>
            <w:left w:val="none" w:sz="0" w:space="0" w:color="auto"/>
            <w:bottom w:val="single" w:sz="6" w:space="0" w:color="CCCCCC"/>
            <w:right w:val="none" w:sz="0" w:space="0" w:color="auto"/>
          </w:divBdr>
          <w:divsChild>
            <w:div w:id="1663463729">
              <w:marLeft w:val="0"/>
              <w:marRight w:val="0"/>
              <w:marTop w:val="0"/>
              <w:marBottom w:val="0"/>
              <w:divBdr>
                <w:top w:val="none" w:sz="0" w:space="0" w:color="auto"/>
                <w:left w:val="none" w:sz="0" w:space="0" w:color="auto"/>
                <w:bottom w:val="none" w:sz="0" w:space="0" w:color="auto"/>
                <w:right w:val="none" w:sz="0" w:space="0" w:color="auto"/>
              </w:divBdr>
            </w:div>
          </w:divsChild>
        </w:div>
        <w:div w:id="761334807">
          <w:marLeft w:val="0"/>
          <w:marRight w:val="0"/>
          <w:marTop w:val="0"/>
          <w:marBottom w:val="0"/>
          <w:divBdr>
            <w:top w:val="none" w:sz="0" w:space="0" w:color="auto"/>
            <w:left w:val="none" w:sz="0" w:space="0" w:color="auto"/>
            <w:bottom w:val="none" w:sz="0" w:space="0" w:color="auto"/>
            <w:right w:val="none" w:sz="0" w:space="0" w:color="auto"/>
          </w:divBdr>
          <w:divsChild>
            <w:div w:id="689650531">
              <w:marLeft w:val="75"/>
              <w:marRight w:val="150"/>
              <w:marTop w:val="45"/>
              <w:marBottom w:val="75"/>
              <w:divBdr>
                <w:top w:val="none" w:sz="0" w:space="0" w:color="auto"/>
                <w:left w:val="none" w:sz="0" w:space="0" w:color="auto"/>
                <w:bottom w:val="none" w:sz="0" w:space="0" w:color="auto"/>
                <w:right w:val="none" w:sz="0" w:space="0" w:color="auto"/>
              </w:divBdr>
            </w:div>
            <w:div w:id="1479761681">
              <w:marLeft w:val="300"/>
              <w:marRight w:val="150"/>
              <w:marTop w:val="75"/>
              <w:marBottom w:val="0"/>
              <w:divBdr>
                <w:top w:val="none" w:sz="0" w:space="0" w:color="auto"/>
                <w:left w:val="none" w:sz="0" w:space="0" w:color="auto"/>
                <w:bottom w:val="none" w:sz="0" w:space="0" w:color="auto"/>
                <w:right w:val="none" w:sz="0" w:space="0" w:color="auto"/>
              </w:divBdr>
            </w:div>
            <w:div w:id="983775357">
              <w:marLeft w:val="300"/>
              <w:marRight w:val="150"/>
              <w:marTop w:val="75"/>
              <w:marBottom w:val="0"/>
              <w:divBdr>
                <w:top w:val="none" w:sz="0" w:space="0" w:color="auto"/>
                <w:left w:val="none" w:sz="0" w:space="0" w:color="auto"/>
                <w:bottom w:val="none" w:sz="0" w:space="0" w:color="auto"/>
                <w:right w:val="none" w:sz="0" w:space="0" w:color="auto"/>
              </w:divBdr>
            </w:div>
          </w:divsChild>
        </w:div>
        <w:div w:id="91556577">
          <w:marLeft w:val="0"/>
          <w:marRight w:val="0"/>
          <w:marTop w:val="75"/>
          <w:marBottom w:val="150"/>
          <w:divBdr>
            <w:top w:val="none" w:sz="0" w:space="0" w:color="auto"/>
            <w:left w:val="none" w:sz="0" w:space="0" w:color="auto"/>
            <w:bottom w:val="none" w:sz="0" w:space="0" w:color="auto"/>
            <w:right w:val="none" w:sz="0" w:space="0" w:color="auto"/>
          </w:divBdr>
          <w:divsChild>
            <w:div w:id="1095635115">
              <w:marLeft w:val="0"/>
              <w:marRight w:val="0"/>
              <w:marTop w:val="45"/>
              <w:marBottom w:val="0"/>
              <w:divBdr>
                <w:top w:val="none" w:sz="0" w:space="0" w:color="auto"/>
                <w:left w:val="single" w:sz="48" w:space="0" w:color="FFFFFF"/>
                <w:bottom w:val="single" w:sz="48" w:space="0" w:color="FFFFFF"/>
                <w:right w:val="none" w:sz="0" w:space="0" w:color="auto"/>
              </w:divBdr>
              <w:divsChild>
                <w:div w:id="166805002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927687978">
      <w:bodyDiv w:val="1"/>
      <w:marLeft w:val="0"/>
      <w:marRight w:val="0"/>
      <w:marTop w:val="0"/>
      <w:marBottom w:val="0"/>
      <w:divBdr>
        <w:top w:val="none" w:sz="0" w:space="0" w:color="auto"/>
        <w:left w:val="none" w:sz="0" w:space="0" w:color="auto"/>
        <w:bottom w:val="none" w:sz="0" w:space="0" w:color="auto"/>
        <w:right w:val="none" w:sz="0" w:space="0" w:color="auto"/>
      </w:divBdr>
      <w:divsChild>
        <w:div w:id="1761872810">
          <w:marLeft w:val="0"/>
          <w:marRight w:val="0"/>
          <w:marTop w:val="150"/>
          <w:marBottom w:val="150"/>
          <w:divBdr>
            <w:top w:val="none" w:sz="0" w:space="0" w:color="auto"/>
            <w:left w:val="none" w:sz="0" w:space="0" w:color="auto"/>
            <w:bottom w:val="single" w:sz="6" w:space="0" w:color="CCCCCC"/>
            <w:right w:val="none" w:sz="0" w:space="0" w:color="auto"/>
          </w:divBdr>
          <w:divsChild>
            <w:div w:id="691033207">
              <w:marLeft w:val="0"/>
              <w:marRight w:val="0"/>
              <w:marTop w:val="0"/>
              <w:marBottom w:val="0"/>
              <w:divBdr>
                <w:top w:val="none" w:sz="0" w:space="0" w:color="auto"/>
                <w:left w:val="none" w:sz="0" w:space="0" w:color="auto"/>
                <w:bottom w:val="none" w:sz="0" w:space="0" w:color="auto"/>
                <w:right w:val="none" w:sz="0" w:space="0" w:color="auto"/>
              </w:divBdr>
            </w:div>
          </w:divsChild>
        </w:div>
        <w:div w:id="1039891842">
          <w:marLeft w:val="0"/>
          <w:marRight w:val="0"/>
          <w:marTop w:val="0"/>
          <w:marBottom w:val="0"/>
          <w:divBdr>
            <w:top w:val="none" w:sz="0" w:space="0" w:color="auto"/>
            <w:left w:val="none" w:sz="0" w:space="0" w:color="auto"/>
            <w:bottom w:val="none" w:sz="0" w:space="0" w:color="auto"/>
            <w:right w:val="none" w:sz="0" w:space="0" w:color="auto"/>
          </w:divBdr>
          <w:divsChild>
            <w:div w:id="11612997">
              <w:marLeft w:val="75"/>
              <w:marRight w:val="150"/>
              <w:marTop w:val="45"/>
              <w:marBottom w:val="75"/>
              <w:divBdr>
                <w:top w:val="none" w:sz="0" w:space="0" w:color="auto"/>
                <w:left w:val="none" w:sz="0" w:space="0" w:color="auto"/>
                <w:bottom w:val="none" w:sz="0" w:space="0" w:color="auto"/>
                <w:right w:val="none" w:sz="0" w:space="0" w:color="auto"/>
              </w:divBdr>
            </w:div>
            <w:div w:id="2001544505">
              <w:marLeft w:val="300"/>
              <w:marRight w:val="150"/>
              <w:marTop w:val="75"/>
              <w:marBottom w:val="0"/>
              <w:divBdr>
                <w:top w:val="none" w:sz="0" w:space="0" w:color="auto"/>
                <w:left w:val="none" w:sz="0" w:space="0" w:color="auto"/>
                <w:bottom w:val="none" w:sz="0" w:space="0" w:color="auto"/>
                <w:right w:val="none" w:sz="0" w:space="0" w:color="auto"/>
              </w:divBdr>
            </w:div>
            <w:div w:id="386494997">
              <w:marLeft w:val="300"/>
              <w:marRight w:val="150"/>
              <w:marTop w:val="75"/>
              <w:marBottom w:val="0"/>
              <w:divBdr>
                <w:top w:val="none" w:sz="0" w:space="0" w:color="auto"/>
                <w:left w:val="none" w:sz="0" w:space="0" w:color="auto"/>
                <w:bottom w:val="none" w:sz="0" w:space="0" w:color="auto"/>
                <w:right w:val="none" w:sz="0" w:space="0" w:color="auto"/>
              </w:divBdr>
            </w:div>
          </w:divsChild>
        </w:div>
        <w:div w:id="833256056">
          <w:marLeft w:val="0"/>
          <w:marRight w:val="0"/>
          <w:marTop w:val="75"/>
          <w:marBottom w:val="150"/>
          <w:divBdr>
            <w:top w:val="none" w:sz="0" w:space="0" w:color="auto"/>
            <w:left w:val="none" w:sz="0" w:space="0" w:color="auto"/>
            <w:bottom w:val="none" w:sz="0" w:space="0" w:color="auto"/>
            <w:right w:val="none" w:sz="0" w:space="0" w:color="auto"/>
          </w:divBdr>
        </w:div>
      </w:divsChild>
    </w:div>
    <w:div w:id="1953316633">
      <w:bodyDiv w:val="1"/>
      <w:marLeft w:val="0"/>
      <w:marRight w:val="0"/>
      <w:marTop w:val="0"/>
      <w:marBottom w:val="0"/>
      <w:divBdr>
        <w:top w:val="none" w:sz="0" w:space="0" w:color="auto"/>
        <w:left w:val="none" w:sz="0" w:space="0" w:color="auto"/>
        <w:bottom w:val="none" w:sz="0" w:space="0" w:color="auto"/>
        <w:right w:val="none" w:sz="0" w:space="0" w:color="auto"/>
      </w:divBdr>
      <w:divsChild>
        <w:div w:id="1241211934">
          <w:marLeft w:val="0"/>
          <w:marRight w:val="0"/>
          <w:marTop w:val="150"/>
          <w:marBottom w:val="150"/>
          <w:divBdr>
            <w:top w:val="none" w:sz="0" w:space="0" w:color="auto"/>
            <w:left w:val="none" w:sz="0" w:space="0" w:color="auto"/>
            <w:bottom w:val="single" w:sz="6" w:space="0" w:color="CCCCCC"/>
            <w:right w:val="none" w:sz="0" w:space="0" w:color="auto"/>
          </w:divBdr>
          <w:divsChild>
            <w:div w:id="821968989">
              <w:marLeft w:val="0"/>
              <w:marRight w:val="0"/>
              <w:marTop w:val="0"/>
              <w:marBottom w:val="0"/>
              <w:divBdr>
                <w:top w:val="none" w:sz="0" w:space="0" w:color="auto"/>
                <w:left w:val="none" w:sz="0" w:space="0" w:color="auto"/>
                <w:bottom w:val="none" w:sz="0" w:space="0" w:color="auto"/>
                <w:right w:val="none" w:sz="0" w:space="0" w:color="auto"/>
              </w:divBdr>
            </w:div>
          </w:divsChild>
        </w:div>
        <w:div w:id="1246455299">
          <w:marLeft w:val="0"/>
          <w:marRight w:val="0"/>
          <w:marTop w:val="0"/>
          <w:marBottom w:val="0"/>
          <w:divBdr>
            <w:top w:val="none" w:sz="0" w:space="0" w:color="auto"/>
            <w:left w:val="none" w:sz="0" w:space="0" w:color="auto"/>
            <w:bottom w:val="none" w:sz="0" w:space="0" w:color="auto"/>
            <w:right w:val="none" w:sz="0" w:space="0" w:color="auto"/>
          </w:divBdr>
          <w:divsChild>
            <w:div w:id="167838168">
              <w:marLeft w:val="75"/>
              <w:marRight w:val="150"/>
              <w:marTop w:val="45"/>
              <w:marBottom w:val="75"/>
              <w:divBdr>
                <w:top w:val="none" w:sz="0" w:space="0" w:color="auto"/>
                <w:left w:val="none" w:sz="0" w:space="0" w:color="auto"/>
                <w:bottom w:val="none" w:sz="0" w:space="0" w:color="auto"/>
                <w:right w:val="none" w:sz="0" w:space="0" w:color="auto"/>
              </w:divBdr>
            </w:div>
            <w:div w:id="1303775829">
              <w:marLeft w:val="300"/>
              <w:marRight w:val="150"/>
              <w:marTop w:val="75"/>
              <w:marBottom w:val="0"/>
              <w:divBdr>
                <w:top w:val="none" w:sz="0" w:space="0" w:color="auto"/>
                <w:left w:val="none" w:sz="0" w:space="0" w:color="auto"/>
                <w:bottom w:val="none" w:sz="0" w:space="0" w:color="auto"/>
                <w:right w:val="none" w:sz="0" w:space="0" w:color="auto"/>
              </w:divBdr>
            </w:div>
            <w:div w:id="2007173039">
              <w:marLeft w:val="300"/>
              <w:marRight w:val="150"/>
              <w:marTop w:val="75"/>
              <w:marBottom w:val="0"/>
              <w:divBdr>
                <w:top w:val="none" w:sz="0" w:space="0" w:color="auto"/>
                <w:left w:val="none" w:sz="0" w:space="0" w:color="auto"/>
                <w:bottom w:val="none" w:sz="0" w:space="0" w:color="auto"/>
                <w:right w:val="none" w:sz="0" w:space="0" w:color="auto"/>
              </w:divBdr>
            </w:div>
          </w:divsChild>
        </w:div>
        <w:div w:id="626741491">
          <w:marLeft w:val="0"/>
          <w:marRight w:val="0"/>
          <w:marTop w:val="75"/>
          <w:marBottom w:val="150"/>
          <w:divBdr>
            <w:top w:val="none" w:sz="0" w:space="0" w:color="auto"/>
            <w:left w:val="none" w:sz="0" w:space="0" w:color="auto"/>
            <w:bottom w:val="none" w:sz="0" w:space="0" w:color="auto"/>
            <w:right w:val="none" w:sz="0" w:space="0" w:color="auto"/>
          </w:divBdr>
          <w:divsChild>
            <w:div w:id="1571840838">
              <w:marLeft w:val="0"/>
              <w:marRight w:val="0"/>
              <w:marTop w:val="45"/>
              <w:marBottom w:val="0"/>
              <w:divBdr>
                <w:top w:val="none" w:sz="0" w:space="0" w:color="auto"/>
                <w:left w:val="single" w:sz="48" w:space="0" w:color="FFFFFF"/>
                <w:bottom w:val="single" w:sz="48" w:space="0" w:color="FFFFFF"/>
                <w:right w:val="none" w:sz="0" w:space="0" w:color="auto"/>
              </w:divBdr>
              <w:divsChild>
                <w:div w:id="77332854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ri.it/it/diplomazia-culturale-e-diplomazia-scientifica/cultura/sistema-della-formazione-italiana-nel-mondo/personalescolastico/selezione-del-personale-della-scuola-da-destinare-all-estero/" TargetMode="External"/><Relationship Id="rId13" Type="http://schemas.openxmlformats.org/officeDocument/2006/relationships/hyperlink" Target="https://www.flcgil.it/scuola/ata/incontro-ministero-istruzione-prorogati-contratti-ata-pnrr-agenda-sud-prime-indicazioni-ministero.fl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leggi-normative/documenti/decreti-direttoriali/decreto-direttoriale-4815-1763-del-2-gennaio-2024-bando-dirigenti-scolastici-estero-2024.flc" TargetMode="External"/><Relationship Id="rId12" Type="http://schemas.openxmlformats.org/officeDocument/2006/relationships/hyperlink" Target="https://www.flcgil.it/scuola/ata/incontro-ministero-istruzione-prorogati-contratti-ata-pnrr-agenda-sud-prime-indicazioni-ministero.flc" TargetMode="External"/><Relationship Id="rId17" Type="http://schemas.openxmlformats.org/officeDocument/2006/relationships/hyperlink" Target="https://www.flcgil.it/sindacato/documenti/approfondimenti/schede-lettura-flc-cgil-legge-bilancio-2024-settori-conoscenza.flc" TargetMode="External"/><Relationship Id="rId2" Type="http://schemas.openxmlformats.org/officeDocument/2006/relationships/styles" Target="styles.xml"/><Relationship Id="rId16" Type="http://schemas.openxmlformats.org/officeDocument/2006/relationships/hyperlink" Target="https://www.flcgil.it/comunicati-stampa/contratto-istruzione-e-ricerca-2019-21-fracassi-bene-approvazione-del-cdm-ora-aumentare-risorse-per-triennio-2022-24.flc" TargetMode="External"/><Relationship Id="rId1" Type="http://schemas.openxmlformats.org/officeDocument/2006/relationships/numbering" Target="numbering.xml"/><Relationship Id="rId6" Type="http://schemas.openxmlformats.org/officeDocument/2006/relationships/hyperlink" Target="https://www.flcgil.it/leggi-normative/documenti/decreti-direttoriali/decreto-direttoriale-4815-1762-del-2-gennaio-2024-bando-personale-docente-e-ata-estero-2024.flc" TargetMode="External"/><Relationship Id="rId11" Type="http://schemas.openxmlformats.org/officeDocument/2006/relationships/hyperlink" Target="https://forms.gle/nLhyeJE1hqbQw8LZ9" TargetMode="External"/><Relationship Id="rId5" Type="http://schemas.openxmlformats.org/officeDocument/2006/relationships/hyperlink" Target="https://www.flcgil.it/scuola/docenti/secondo-ciclo/sperimentazione-filiera-formativa-tecnologico-professionale-nonostante-proroga-permangono-ragioni-per-bocciare-proposta.flc" TargetMode="External"/><Relationship Id="rId15" Type="http://schemas.openxmlformats.org/officeDocument/2006/relationships/hyperlink" Target="https://www.flcgil.it/attualita/politica-societa/nadef-2023-prima-analisi-misure-settori-conoscenza.flc" TargetMode="External"/><Relationship Id="rId10" Type="http://schemas.openxmlformats.org/officeDocument/2006/relationships/hyperlink" Target="https://www.proteofaresapere.it/corsi/corsi-nazionali/scuola-intercultura-5-edizio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cgil.it/sindacato/documenti/approfondimenti/scheda-flc-cgil-bando-dirigenti-scolastici-personale-scolastico-all-estero-2024.flc" TargetMode="External"/><Relationship Id="rId14" Type="http://schemas.openxmlformats.org/officeDocument/2006/relationships/hyperlink" Target="https://www.flcgil.it/leggi-normative/documenti/leggi/legge-213-del-30-dicembre-2023-bilancio-previsione-stato-anno-finanziario-2024-e-bilancio-pluriennale-triennio-2024-2026.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2448</Words>
  <Characters>13959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4</cp:revision>
  <dcterms:created xsi:type="dcterms:W3CDTF">2024-01-05T18:08:00Z</dcterms:created>
  <dcterms:modified xsi:type="dcterms:W3CDTF">2024-01-08T10:19:00Z</dcterms:modified>
</cp:coreProperties>
</file>